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1FA306" w14:textId="77777777" w:rsidR="009764D1" w:rsidRPr="00B97D44" w:rsidRDefault="009764D1" w:rsidP="009764D1">
      <w:pPr>
        <w:jc w:val="center"/>
        <w:rPr>
          <w:b/>
          <w:i/>
          <w:shd w:val="clear" w:color="auto" w:fill="FFFFFF"/>
        </w:rPr>
      </w:pPr>
      <w:r w:rsidRPr="00B97D44">
        <w:rPr>
          <w:b/>
        </w:rPr>
        <w:t xml:space="preserve">UTILIZAÇÃO DE ÓLEO DE </w:t>
      </w:r>
      <w:proofErr w:type="spellStart"/>
      <w:r w:rsidRPr="00B97D44">
        <w:rPr>
          <w:b/>
          <w:i/>
        </w:rPr>
        <w:t>Copaifera</w:t>
      </w:r>
      <w:proofErr w:type="spellEnd"/>
      <w:r w:rsidRPr="00B97D44">
        <w:rPr>
          <w:b/>
          <w:i/>
        </w:rPr>
        <w:t xml:space="preserve"> </w:t>
      </w:r>
      <w:r w:rsidRPr="00B97D44">
        <w:rPr>
          <w:b/>
        </w:rPr>
        <w:t xml:space="preserve">sp. </w:t>
      </w:r>
      <w:r w:rsidR="00C821B7" w:rsidRPr="00B97D44">
        <w:rPr>
          <w:b/>
        </w:rPr>
        <w:t xml:space="preserve">NO CONTROLE DE </w:t>
      </w:r>
      <w:proofErr w:type="spellStart"/>
      <w:r w:rsidRPr="00B97D44">
        <w:rPr>
          <w:b/>
          <w:i/>
        </w:rPr>
        <w:t>Rhipicephalus</w:t>
      </w:r>
      <w:proofErr w:type="spellEnd"/>
      <w:r w:rsidRPr="00B97D44">
        <w:rPr>
          <w:b/>
          <w:i/>
        </w:rPr>
        <w:t xml:space="preserve"> (</w:t>
      </w:r>
      <w:proofErr w:type="spellStart"/>
      <w:r w:rsidRPr="00B97D44">
        <w:rPr>
          <w:b/>
          <w:i/>
        </w:rPr>
        <w:t>Boophilus</w:t>
      </w:r>
      <w:proofErr w:type="spellEnd"/>
      <w:r w:rsidRPr="00B97D44">
        <w:rPr>
          <w:b/>
          <w:i/>
        </w:rPr>
        <w:t>)</w:t>
      </w:r>
      <w:bookmarkStart w:id="0" w:name="_GoBack"/>
      <w:bookmarkEnd w:id="0"/>
      <w:r w:rsidRPr="00B97D44">
        <w:rPr>
          <w:b/>
          <w:i/>
        </w:rPr>
        <w:t xml:space="preserve"> </w:t>
      </w:r>
      <w:proofErr w:type="spellStart"/>
      <w:r w:rsidRPr="00B97D44">
        <w:rPr>
          <w:b/>
          <w:i/>
        </w:rPr>
        <w:t>microplus</w:t>
      </w:r>
      <w:proofErr w:type="spellEnd"/>
    </w:p>
    <w:p w14:paraId="78BDED6D" w14:textId="77777777" w:rsidR="004262A7" w:rsidRPr="00B97D44" w:rsidRDefault="00D93AA5">
      <w:pPr>
        <w:jc w:val="center"/>
      </w:pPr>
      <w:r w:rsidRPr="00B97D44">
        <w:rPr>
          <w:noProof/>
          <w:lang w:val="en-US" w:eastAsia="en-US"/>
        </w:rPr>
        <w:drawing>
          <wp:anchor distT="0" distB="0" distL="114300" distR="114300" simplePos="0" relativeHeight="251658240" behindDoc="0" locked="0" layoutInCell="0" allowOverlap="0" wp14:anchorId="0BD9F3FA" wp14:editId="4371768B">
            <wp:simplePos x="0" y="0"/>
            <wp:positionH relativeFrom="margin">
              <wp:posOffset>-507364</wp:posOffset>
            </wp:positionH>
            <wp:positionV relativeFrom="paragraph">
              <wp:posOffset>-810894</wp:posOffset>
            </wp:positionV>
            <wp:extent cx="7242810" cy="1398270"/>
            <wp:effectExtent l="0" t="0" r="0" b="0"/>
            <wp:wrapSquare wrapText="bothSides" distT="0" distB="0" distL="114300" distR="114300"/>
            <wp:docPr id="1" name="image02.jpg" descr="\\NELSON\Serviços Atuais\UENP\2015\JOIC\powerpoint OK.jpg"/>
            <wp:cNvGraphicFramePr/>
            <a:graphic xmlns:a="http://schemas.openxmlformats.org/drawingml/2006/main">
              <a:graphicData uri="http://schemas.openxmlformats.org/drawingml/2006/picture">
                <pic:pic xmlns:pic="http://schemas.openxmlformats.org/drawingml/2006/picture">
                  <pic:nvPicPr>
                    <pic:cNvPr id="0" name="image02.jpg" descr="\\NELSON\Serviços Atuais\UENP\2015\JOIC\powerpoint OK.jpg"/>
                    <pic:cNvPicPr preferRelativeResize="0"/>
                  </pic:nvPicPr>
                  <pic:blipFill>
                    <a:blip r:embed="rId6"/>
                    <a:srcRect b="84431"/>
                    <a:stretch>
                      <a:fillRect/>
                    </a:stretch>
                  </pic:blipFill>
                  <pic:spPr>
                    <a:xfrm>
                      <a:off x="0" y="0"/>
                      <a:ext cx="7242810" cy="1398270"/>
                    </a:xfrm>
                    <a:prstGeom prst="rect">
                      <a:avLst/>
                    </a:prstGeom>
                    <a:ln/>
                  </pic:spPr>
                </pic:pic>
              </a:graphicData>
            </a:graphic>
          </wp:anchor>
        </w:drawing>
      </w:r>
    </w:p>
    <w:p w14:paraId="294A5D0B" w14:textId="77777777" w:rsidR="00C96CD1" w:rsidRPr="00B97D44" w:rsidRDefault="00C96CD1" w:rsidP="00C96CD1">
      <w:pPr>
        <w:jc w:val="center"/>
      </w:pPr>
      <w:r w:rsidRPr="00B97D44">
        <w:t xml:space="preserve">Carolina </w:t>
      </w:r>
      <w:proofErr w:type="spellStart"/>
      <w:r w:rsidRPr="00B97D44">
        <w:t>Guarini</w:t>
      </w:r>
      <w:proofErr w:type="spellEnd"/>
      <w:r w:rsidRPr="00B97D44">
        <w:t xml:space="preserve"> Marcelino</w:t>
      </w:r>
      <w:r w:rsidR="00924692" w:rsidRPr="00B97D44">
        <w:rPr>
          <w:vertAlign w:val="superscript"/>
        </w:rPr>
        <w:t>1</w:t>
      </w:r>
      <w:r w:rsidRPr="00B97D44">
        <w:t>, Carolina de Oliveira Rorato</w:t>
      </w:r>
      <w:r w:rsidR="00924692" w:rsidRPr="00B97D44">
        <w:rPr>
          <w:vertAlign w:val="superscript"/>
        </w:rPr>
        <w:t>1</w:t>
      </w:r>
      <w:r w:rsidRPr="00B97D44">
        <w:t>, Gabriela Montanha Rocha</w:t>
      </w:r>
      <w:r w:rsidR="00924692" w:rsidRPr="00B97D44">
        <w:rPr>
          <w:vertAlign w:val="superscript"/>
        </w:rPr>
        <w:t>1</w:t>
      </w:r>
      <w:r w:rsidRPr="00B97D44">
        <w:t xml:space="preserve">, Rafael </w:t>
      </w:r>
      <w:proofErr w:type="spellStart"/>
      <w:r w:rsidRPr="00B97D44">
        <w:t>Rostirolla</w:t>
      </w:r>
      <w:proofErr w:type="spellEnd"/>
      <w:r w:rsidRPr="00B97D44">
        <w:t xml:space="preserve"> Debiage</w:t>
      </w:r>
      <w:r w:rsidR="00924692" w:rsidRPr="00B97D44">
        <w:rPr>
          <w:vertAlign w:val="superscript"/>
        </w:rPr>
        <w:t>1</w:t>
      </w:r>
      <w:r w:rsidRPr="00B97D44">
        <w:t xml:space="preserve">, </w:t>
      </w:r>
      <w:r w:rsidRPr="00B97D44">
        <w:rPr>
          <w:sz w:val="23"/>
          <w:szCs w:val="23"/>
        </w:rPr>
        <w:t>Emília Paiva Porto</w:t>
      </w:r>
      <w:r w:rsidR="00924692" w:rsidRPr="00B97D44">
        <w:rPr>
          <w:vertAlign w:val="superscript"/>
        </w:rPr>
        <w:t>1</w:t>
      </w:r>
      <w:r w:rsidRPr="00B97D44">
        <w:rPr>
          <w:sz w:val="16"/>
          <w:szCs w:val="16"/>
        </w:rPr>
        <w:t xml:space="preserve">, </w:t>
      </w:r>
      <w:proofErr w:type="spellStart"/>
      <w:r w:rsidRPr="00B97D44">
        <w:rPr>
          <w:sz w:val="23"/>
          <w:szCs w:val="23"/>
        </w:rPr>
        <w:t>Regildo</w:t>
      </w:r>
      <w:proofErr w:type="spellEnd"/>
      <w:r w:rsidRPr="00B97D44">
        <w:rPr>
          <w:sz w:val="23"/>
          <w:szCs w:val="23"/>
        </w:rPr>
        <w:t xml:space="preserve"> Márcio Gonçalves da Silva</w:t>
      </w:r>
      <w:r w:rsidR="00924692" w:rsidRPr="00B97D44">
        <w:rPr>
          <w:sz w:val="23"/>
          <w:szCs w:val="23"/>
          <w:vertAlign w:val="superscript"/>
        </w:rPr>
        <w:t>2</w:t>
      </w:r>
      <w:r w:rsidRPr="00B97D44">
        <w:rPr>
          <w:sz w:val="16"/>
          <w:szCs w:val="16"/>
        </w:rPr>
        <w:t xml:space="preserve">, </w:t>
      </w:r>
      <w:r w:rsidR="00924692" w:rsidRPr="00B97D44">
        <w:t xml:space="preserve">Erika </w:t>
      </w:r>
      <w:proofErr w:type="spellStart"/>
      <w:r w:rsidR="00924692" w:rsidRPr="00B97D44">
        <w:t>Cosendey</w:t>
      </w:r>
      <w:proofErr w:type="spellEnd"/>
      <w:r w:rsidR="00924692" w:rsidRPr="00B97D44">
        <w:t xml:space="preserve"> Toledo de Mello Peixoto</w:t>
      </w:r>
      <w:r w:rsidR="00924692" w:rsidRPr="00B97D44">
        <w:rPr>
          <w:vertAlign w:val="superscript"/>
        </w:rPr>
        <w:t>1</w:t>
      </w:r>
      <w:r w:rsidR="00924692" w:rsidRPr="00B97D44">
        <w:t xml:space="preserve">, </w:t>
      </w:r>
      <w:r w:rsidRPr="00B97D44">
        <w:t>e-mail:carolgm_094@hotmail.com</w:t>
      </w:r>
    </w:p>
    <w:p w14:paraId="24E03EF2" w14:textId="77777777" w:rsidR="004262A7" w:rsidRPr="00B97D44" w:rsidRDefault="004262A7">
      <w:pPr>
        <w:jc w:val="center"/>
      </w:pPr>
    </w:p>
    <w:p w14:paraId="49DB9C7C" w14:textId="77777777" w:rsidR="004262A7" w:rsidRPr="00B97D44" w:rsidRDefault="00924692">
      <w:pPr>
        <w:jc w:val="center"/>
      </w:pPr>
      <w:r w:rsidRPr="00B97D44">
        <w:rPr>
          <w:vertAlign w:val="superscript"/>
        </w:rPr>
        <w:t>1</w:t>
      </w:r>
      <w:r w:rsidR="00D93AA5" w:rsidRPr="00B97D44">
        <w:t xml:space="preserve">Universidade Estadual do Norte do Paraná/Campus </w:t>
      </w:r>
      <w:r w:rsidR="009764D1" w:rsidRPr="00B97D44">
        <w:t xml:space="preserve">Luiz </w:t>
      </w:r>
      <w:proofErr w:type="spellStart"/>
      <w:r w:rsidR="009764D1" w:rsidRPr="00B97D44">
        <w:t>Meneghel</w:t>
      </w:r>
      <w:proofErr w:type="spellEnd"/>
      <w:r w:rsidR="00D93AA5" w:rsidRPr="00B97D44">
        <w:t xml:space="preserve"> </w:t>
      </w:r>
    </w:p>
    <w:p w14:paraId="090F2155" w14:textId="77777777" w:rsidR="00924692" w:rsidRPr="00B97D44" w:rsidRDefault="00924692" w:rsidP="00924692">
      <w:pPr>
        <w:jc w:val="center"/>
      </w:pPr>
      <w:r w:rsidRPr="00B97D44">
        <w:rPr>
          <w:vertAlign w:val="superscript"/>
        </w:rPr>
        <w:t>2</w:t>
      </w:r>
      <w:r w:rsidRPr="00B97D44">
        <w:t xml:space="preserve"> Universidade Estadual Júlio de Mesquita Filho/Faculdade de Letras e Ciências de Assis/SP</w:t>
      </w:r>
    </w:p>
    <w:p w14:paraId="247E7D04" w14:textId="77777777" w:rsidR="00924692" w:rsidRPr="00B97D44" w:rsidRDefault="00924692">
      <w:pPr>
        <w:jc w:val="center"/>
      </w:pPr>
    </w:p>
    <w:p w14:paraId="238ED2B4" w14:textId="77777777" w:rsidR="004262A7" w:rsidRPr="00B97D44" w:rsidRDefault="004262A7"/>
    <w:p w14:paraId="39360B79" w14:textId="77777777" w:rsidR="00C96CD1" w:rsidRPr="00B97D44" w:rsidRDefault="00C96CD1" w:rsidP="00C96CD1">
      <w:pPr>
        <w:jc w:val="both"/>
        <w:rPr>
          <w:b/>
        </w:rPr>
      </w:pPr>
      <w:r w:rsidRPr="00B97D44">
        <w:rPr>
          <w:b/>
        </w:rPr>
        <w:t>Ciênc</w:t>
      </w:r>
      <w:r w:rsidR="00924692" w:rsidRPr="00B97D44">
        <w:rPr>
          <w:b/>
        </w:rPr>
        <w:t>ias Agrárias e Medicina Veteriná</w:t>
      </w:r>
      <w:r w:rsidRPr="00B97D44">
        <w:rPr>
          <w:b/>
        </w:rPr>
        <w:t xml:space="preserve">ria/ Doenças Parasitárias de Animais </w:t>
      </w:r>
    </w:p>
    <w:p w14:paraId="6962F0C1" w14:textId="77777777" w:rsidR="004262A7" w:rsidRPr="00B97D44" w:rsidRDefault="004262A7">
      <w:pPr>
        <w:jc w:val="both"/>
      </w:pPr>
    </w:p>
    <w:p w14:paraId="13BB071D" w14:textId="77777777" w:rsidR="004262A7" w:rsidRPr="00B97D44" w:rsidRDefault="00D93AA5" w:rsidP="00347E25">
      <w:pPr>
        <w:jc w:val="both"/>
      </w:pPr>
      <w:r w:rsidRPr="00B97D44">
        <w:rPr>
          <w:b/>
        </w:rPr>
        <w:t xml:space="preserve">Palavras-chave: </w:t>
      </w:r>
      <w:r w:rsidR="00320098" w:rsidRPr="00B97D44">
        <w:t>Agroecologia,</w:t>
      </w:r>
      <w:r w:rsidR="00320098" w:rsidRPr="00B97D44">
        <w:rPr>
          <w:b/>
        </w:rPr>
        <w:t xml:space="preserve"> </w:t>
      </w:r>
      <w:r w:rsidR="00320098" w:rsidRPr="00B97D44">
        <w:rPr>
          <w:shd w:val="clear" w:color="auto" w:fill="FFFFFF"/>
        </w:rPr>
        <w:t>Carrapato bovino</w:t>
      </w:r>
      <w:r w:rsidR="00347E25" w:rsidRPr="00B97D44">
        <w:rPr>
          <w:shd w:val="clear" w:color="auto" w:fill="FFFFFF"/>
        </w:rPr>
        <w:t>,</w:t>
      </w:r>
      <w:r w:rsidR="009764D1" w:rsidRPr="00B97D44">
        <w:t xml:space="preserve"> Ó</w:t>
      </w:r>
      <w:r w:rsidR="00347E25" w:rsidRPr="00B97D44">
        <w:t xml:space="preserve">leo de Copaíba.  </w:t>
      </w:r>
    </w:p>
    <w:p w14:paraId="090CA5B3" w14:textId="77777777" w:rsidR="00347E25" w:rsidRPr="00B97D44" w:rsidRDefault="00347E25" w:rsidP="00347E25">
      <w:pPr>
        <w:jc w:val="both"/>
      </w:pPr>
    </w:p>
    <w:p w14:paraId="453D866A" w14:textId="77777777" w:rsidR="00347E25" w:rsidRPr="00B97D44" w:rsidRDefault="00D93AA5" w:rsidP="00822449">
      <w:r w:rsidRPr="00B97D44">
        <w:rPr>
          <w:b/>
        </w:rPr>
        <w:t>Resumo</w:t>
      </w:r>
    </w:p>
    <w:p w14:paraId="645A67CC" w14:textId="77777777" w:rsidR="00822449" w:rsidRPr="00B97D44" w:rsidRDefault="00822449" w:rsidP="00822449"/>
    <w:p w14:paraId="7B4CEE66" w14:textId="77777777" w:rsidR="004262A7" w:rsidRPr="00B97D44" w:rsidRDefault="00C40A95" w:rsidP="00CF26AB">
      <w:pPr>
        <w:jc w:val="both"/>
      </w:pPr>
      <w:r w:rsidRPr="00B97D44">
        <w:t xml:space="preserve">O </w:t>
      </w:r>
      <w:r w:rsidR="00FA1A26" w:rsidRPr="00B97D44">
        <w:t xml:space="preserve">Carrapato bovino </w:t>
      </w:r>
      <w:r w:rsidR="00924692" w:rsidRPr="00B97D44">
        <w:t>representa</w:t>
      </w:r>
      <w:r w:rsidRPr="00B97D44">
        <w:t xml:space="preserve"> o</w:t>
      </w:r>
      <w:r w:rsidR="00347E25" w:rsidRPr="00B97D44">
        <w:t xml:space="preserve"> ectoparasita de maior importância na pecuária, tornando-se indispensável à adoção de medidas de controle. </w:t>
      </w:r>
      <w:r w:rsidR="00FA1A26" w:rsidRPr="00B97D44">
        <w:t>Seu</w:t>
      </w:r>
      <w:r w:rsidR="00347E25" w:rsidRPr="00B97D44">
        <w:t xml:space="preserve"> controle </w:t>
      </w:r>
      <w:r w:rsidR="00FA1A26" w:rsidRPr="00B97D44">
        <w:t>usualmente</w:t>
      </w:r>
      <w:r w:rsidR="00347E25" w:rsidRPr="00B97D44">
        <w:t xml:space="preserve"> é realizado a base de medicamentos </w:t>
      </w:r>
      <w:r w:rsidR="00FA1A26" w:rsidRPr="00B97D44">
        <w:t>químicos</w:t>
      </w:r>
      <w:r w:rsidR="00347E25" w:rsidRPr="00B97D44">
        <w:t xml:space="preserve"> o qual provoca</w:t>
      </w:r>
      <w:r w:rsidR="00924692" w:rsidRPr="00B97D44">
        <w:t>m</w:t>
      </w:r>
      <w:r w:rsidR="00347E25" w:rsidRPr="00B97D44">
        <w:t xml:space="preserve"> resistência, resíduos medicamentoso</w:t>
      </w:r>
      <w:r w:rsidR="005C7AF1" w:rsidRPr="00B97D44">
        <w:t xml:space="preserve">s no </w:t>
      </w:r>
      <w:r w:rsidR="00FA1A26" w:rsidRPr="00B97D44">
        <w:t xml:space="preserve">meio </w:t>
      </w:r>
      <w:r w:rsidR="005C7AF1" w:rsidRPr="00B97D44">
        <w:t xml:space="preserve">ambiente, nos animais e </w:t>
      </w:r>
      <w:r w:rsidR="00924692" w:rsidRPr="00B97D44">
        <w:t xml:space="preserve">nos </w:t>
      </w:r>
      <w:r w:rsidR="00FA1A26" w:rsidRPr="00B97D44">
        <w:t>alimentos de origem animal</w:t>
      </w:r>
      <w:r w:rsidR="00347E25" w:rsidRPr="00B97D44">
        <w:t xml:space="preserve">. Mudanças nos conceitos de produção determinaram a busca por medidas naturais </w:t>
      </w:r>
      <w:r w:rsidR="00974326" w:rsidRPr="00B97D44">
        <w:t>favoráveis à inocuidade d</w:t>
      </w:r>
      <w:r w:rsidR="00347E25" w:rsidRPr="00B97D44">
        <w:t xml:space="preserve">o </w:t>
      </w:r>
      <w:r w:rsidR="00FA1A26" w:rsidRPr="00B97D44">
        <w:t>alimento produzido. Dessa forma,</w:t>
      </w:r>
      <w:r w:rsidR="00347E25" w:rsidRPr="00B97D44">
        <w:rPr>
          <w:rStyle w:val="A13"/>
          <w:rFonts w:cs="Times New Roman"/>
          <w:sz w:val="24"/>
          <w:szCs w:val="24"/>
        </w:rPr>
        <w:t xml:space="preserve"> objetivo</w:t>
      </w:r>
      <w:r w:rsidR="00FA1A26" w:rsidRPr="00B97D44">
        <w:rPr>
          <w:rStyle w:val="A13"/>
          <w:rFonts w:cs="Times New Roman"/>
          <w:sz w:val="24"/>
          <w:szCs w:val="24"/>
        </w:rPr>
        <w:t>u-se</w:t>
      </w:r>
      <w:r w:rsidR="00347E25" w:rsidRPr="00B97D44">
        <w:rPr>
          <w:rStyle w:val="A13"/>
          <w:rFonts w:cs="Times New Roman"/>
          <w:sz w:val="24"/>
          <w:szCs w:val="24"/>
        </w:rPr>
        <w:t xml:space="preserve"> avaliar </w:t>
      </w:r>
      <w:r w:rsidR="00347E25" w:rsidRPr="00B97D44">
        <w:t xml:space="preserve">o potencial acaricida </w:t>
      </w:r>
      <w:r w:rsidRPr="00B97D44">
        <w:t>(</w:t>
      </w:r>
      <w:r w:rsidRPr="00B97D44">
        <w:rPr>
          <w:i/>
        </w:rPr>
        <w:t>in vitro</w:t>
      </w:r>
      <w:r w:rsidRPr="00B97D44">
        <w:t xml:space="preserve">) </w:t>
      </w:r>
      <w:r w:rsidR="00347E25" w:rsidRPr="00B97D44">
        <w:t>do óleo de copaíba</w:t>
      </w:r>
      <w:r w:rsidR="00FC43C1" w:rsidRPr="00B97D44">
        <w:t xml:space="preserve"> comercial</w:t>
      </w:r>
      <w:r w:rsidR="00347E25" w:rsidRPr="00B97D44">
        <w:t xml:space="preserve"> sobre </w:t>
      </w:r>
      <w:proofErr w:type="spellStart"/>
      <w:r w:rsidR="00347E25" w:rsidRPr="00B97D44">
        <w:rPr>
          <w:i/>
        </w:rPr>
        <w:t>Rhiphicephalus</w:t>
      </w:r>
      <w:proofErr w:type="spellEnd"/>
      <w:r w:rsidR="00347E25" w:rsidRPr="00B97D44">
        <w:rPr>
          <w:i/>
        </w:rPr>
        <w:t xml:space="preserve"> (</w:t>
      </w:r>
      <w:proofErr w:type="spellStart"/>
      <w:r w:rsidR="00347E25" w:rsidRPr="00B97D44">
        <w:rPr>
          <w:i/>
        </w:rPr>
        <w:t>Boophilus</w:t>
      </w:r>
      <w:proofErr w:type="spellEnd"/>
      <w:r w:rsidR="00347E25" w:rsidRPr="00B97D44">
        <w:rPr>
          <w:i/>
        </w:rPr>
        <w:t xml:space="preserve">) </w:t>
      </w:r>
      <w:proofErr w:type="spellStart"/>
      <w:r w:rsidR="00347E25" w:rsidRPr="00B97D44">
        <w:rPr>
          <w:i/>
        </w:rPr>
        <w:t>microplus</w:t>
      </w:r>
      <w:proofErr w:type="spellEnd"/>
      <w:r w:rsidR="00347E25" w:rsidRPr="00B97D44">
        <w:t xml:space="preserve"> </w:t>
      </w:r>
      <w:r w:rsidR="00FA1A26" w:rsidRPr="00B97D44">
        <w:t>utilizando a</w:t>
      </w:r>
      <w:r w:rsidR="00347E25" w:rsidRPr="00B97D44">
        <w:t xml:space="preserve"> técnica de imersão de adultos (TIA). </w:t>
      </w:r>
      <w:r w:rsidR="00FA1A26" w:rsidRPr="00B97D44">
        <w:t xml:space="preserve">Foram distribuídas, aleatoriamente, 240 </w:t>
      </w:r>
      <w:proofErr w:type="spellStart"/>
      <w:r w:rsidR="00FA1A26" w:rsidRPr="00B97D44">
        <w:t>teleóginas</w:t>
      </w:r>
      <w:proofErr w:type="spellEnd"/>
      <w:r w:rsidR="00FA1A26" w:rsidRPr="00B97D44">
        <w:t xml:space="preserve"> nos seguintes</w:t>
      </w:r>
      <w:r w:rsidR="00347E25" w:rsidRPr="00B97D44">
        <w:t xml:space="preserve"> tratamento</w:t>
      </w:r>
      <w:r w:rsidR="00FA1A26" w:rsidRPr="00B97D44">
        <w:t>s</w:t>
      </w:r>
      <w:r w:rsidR="00347E25" w:rsidRPr="00B97D44">
        <w:t>: controle posi</w:t>
      </w:r>
      <w:r w:rsidR="00FA1A26" w:rsidRPr="00B97D44">
        <w:t>tivo</w:t>
      </w:r>
      <w:r w:rsidR="00C821B7" w:rsidRPr="00B97D44">
        <w:t xml:space="preserve"> (T1-ivermectina 1%), </w:t>
      </w:r>
      <w:r w:rsidR="00347E25" w:rsidRPr="00B97D44">
        <w:t>controle</w:t>
      </w:r>
      <w:r w:rsidR="00831B6B" w:rsidRPr="00B97D44">
        <w:t xml:space="preserve"> testemunha</w:t>
      </w:r>
      <w:r w:rsidR="00C821B7" w:rsidRPr="00B97D44">
        <w:t xml:space="preserve"> (T2- água destilada)</w:t>
      </w:r>
      <w:r w:rsidR="00347E25" w:rsidRPr="00B97D44">
        <w:t>, controle negativo</w:t>
      </w:r>
      <w:r w:rsidR="00C821B7" w:rsidRPr="00B97D44">
        <w:t xml:space="preserve"> (T3- óleo mineral)</w:t>
      </w:r>
      <w:r w:rsidR="00347E25" w:rsidRPr="00B97D44">
        <w:t xml:space="preserve">, tratamento óleo de Copaíba </w:t>
      </w:r>
      <w:r w:rsidR="00831B6B" w:rsidRPr="00B97D44">
        <w:t>a</w:t>
      </w:r>
      <w:r w:rsidR="00D50622" w:rsidRPr="00B97D44">
        <w:t xml:space="preserve"> </w:t>
      </w:r>
      <w:r w:rsidR="00347E25" w:rsidRPr="00B97D44">
        <w:t>10%</w:t>
      </w:r>
      <w:r w:rsidR="00C821B7" w:rsidRPr="00B97D44">
        <w:t xml:space="preserve"> (T4),</w:t>
      </w:r>
      <w:r w:rsidR="00347E25" w:rsidRPr="00B97D44">
        <w:t xml:space="preserve"> </w:t>
      </w:r>
      <w:r w:rsidR="00831B6B" w:rsidRPr="00B97D44">
        <w:t>40%</w:t>
      </w:r>
      <w:r w:rsidR="00C821B7" w:rsidRPr="00B97D44">
        <w:t xml:space="preserve"> (T5)</w:t>
      </w:r>
      <w:r w:rsidR="00831B6B" w:rsidRPr="00B97D44">
        <w:t xml:space="preserve"> e 80%</w:t>
      </w:r>
      <w:r w:rsidR="00C821B7" w:rsidRPr="00B97D44">
        <w:t xml:space="preserve"> (T6)</w:t>
      </w:r>
      <w:r w:rsidR="00831B6B" w:rsidRPr="00B97D44">
        <w:t>. Esses</w:t>
      </w:r>
      <w:r w:rsidR="00347E25" w:rsidRPr="00B97D44">
        <w:t xml:space="preserve"> </w:t>
      </w:r>
      <w:r w:rsidR="00831B6B" w:rsidRPr="00B97D44">
        <w:t>tratamentos fora</w:t>
      </w:r>
      <w:r w:rsidR="00D50622" w:rsidRPr="00B97D44">
        <w:t xml:space="preserve">m </w:t>
      </w:r>
      <w:r w:rsidR="006F5859" w:rsidRPr="00B97D44">
        <w:t>realizados</w:t>
      </w:r>
      <w:r w:rsidR="00D50622" w:rsidRPr="00B97D44">
        <w:t xml:space="preserve"> em </w:t>
      </w:r>
      <w:proofErr w:type="spellStart"/>
      <w:r w:rsidR="00D50622" w:rsidRPr="00B97D44">
        <w:t>quadruplicata</w:t>
      </w:r>
      <w:proofErr w:type="spellEnd"/>
      <w:r w:rsidR="00D50622" w:rsidRPr="00B97D44">
        <w:t xml:space="preserve"> para se avaliar: índice de mortalidade, índice de </w:t>
      </w:r>
      <w:proofErr w:type="spellStart"/>
      <w:r w:rsidR="00D50622" w:rsidRPr="00B97D44">
        <w:t>eclodibilidade</w:t>
      </w:r>
      <w:proofErr w:type="spellEnd"/>
      <w:r w:rsidR="00D50622" w:rsidRPr="00B97D44">
        <w:t xml:space="preserve">, </w:t>
      </w:r>
      <w:r w:rsidR="00D50622" w:rsidRPr="00B97D44">
        <w:rPr>
          <w:rFonts w:eastAsia="Arial"/>
        </w:rPr>
        <w:t>reprodução estimada e a eficácia do produto</w:t>
      </w:r>
      <w:r w:rsidR="00D50622" w:rsidRPr="00B97D44">
        <w:t xml:space="preserve">. </w:t>
      </w:r>
      <w:r w:rsidR="00474B86" w:rsidRPr="00B97D44">
        <w:t>A</w:t>
      </w:r>
      <w:r w:rsidR="00C96CD1" w:rsidRPr="00B97D44">
        <w:t>penas</w:t>
      </w:r>
      <w:r w:rsidR="00474B86" w:rsidRPr="00B97D44">
        <w:t xml:space="preserve"> o grupo controle positivo</w:t>
      </w:r>
      <w:r w:rsidR="00C96CD1" w:rsidRPr="00B97D44">
        <w:t xml:space="preserve"> apresentou </w:t>
      </w:r>
      <w:r w:rsidR="00D122A4" w:rsidRPr="00B97D44">
        <w:t xml:space="preserve">eficácia acima de 95%, considerada mínima, pela legislação brasileira, para </w:t>
      </w:r>
      <w:r w:rsidR="006F5859" w:rsidRPr="00B97D44">
        <w:t xml:space="preserve">se realizar o </w:t>
      </w:r>
      <w:r w:rsidR="00D122A4" w:rsidRPr="00B97D44">
        <w:t xml:space="preserve">registro de um produto comercial pelo Ministério da Agricultura. </w:t>
      </w:r>
      <w:r w:rsidR="006F5859" w:rsidRPr="00B97D44">
        <w:t xml:space="preserve">Dessa forma, para as condições avaliadas, </w:t>
      </w:r>
      <w:r w:rsidR="00474B86" w:rsidRPr="00B97D44">
        <w:t xml:space="preserve">o </w:t>
      </w:r>
      <w:r w:rsidR="00DB616E" w:rsidRPr="00B97D44">
        <w:t xml:space="preserve">óleo de Copaíba industrializado </w:t>
      </w:r>
      <w:r w:rsidR="00474B86" w:rsidRPr="00B97D44">
        <w:t xml:space="preserve">não apresentou eficácia do produto. </w:t>
      </w:r>
      <w:r w:rsidR="007E7143" w:rsidRPr="00B97D44">
        <w:t xml:space="preserve">No material e métodos do resumo explicar conforme no material e métodos do trabalho. </w:t>
      </w:r>
      <w:proofErr w:type="spellStart"/>
      <w:r w:rsidR="007E7143" w:rsidRPr="00B97D44">
        <w:t>Ex</w:t>
      </w:r>
      <w:proofErr w:type="spellEnd"/>
      <w:r w:rsidR="007E7143" w:rsidRPr="00B97D44">
        <w:t xml:space="preserve"> c</w:t>
      </w:r>
      <w:r w:rsidR="007E7143" w:rsidRPr="00B97D44">
        <w:rPr>
          <w:bCs/>
        </w:rPr>
        <w:t>ontrole positivo (T1-ivermectina 1%)</w:t>
      </w:r>
    </w:p>
    <w:p w14:paraId="5162B178" w14:textId="77777777" w:rsidR="00C821B7" w:rsidRPr="00B97D44" w:rsidRDefault="00C821B7" w:rsidP="00CF26AB">
      <w:pPr>
        <w:jc w:val="both"/>
      </w:pPr>
    </w:p>
    <w:p w14:paraId="523F3085" w14:textId="77777777" w:rsidR="004262A7" w:rsidRPr="00B97D44" w:rsidRDefault="00D93AA5" w:rsidP="00CF26AB">
      <w:pPr>
        <w:jc w:val="both"/>
      </w:pPr>
      <w:r w:rsidRPr="00B97D44">
        <w:rPr>
          <w:b/>
        </w:rPr>
        <w:t xml:space="preserve">Introdução </w:t>
      </w:r>
    </w:p>
    <w:p w14:paraId="5D3535AE" w14:textId="77777777" w:rsidR="005C7AF1" w:rsidRPr="00B97D44" w:rsidRDefault="005C7AF1" w:rsidP="00CF26AB">
      <w:pPr>
        <w:jc w:val="both"/>
      </w:pPr>
    </w:p>
    <w:p w14:paraId="5D594C78" w14:textId="77777777" w:rsidR="004D320D" w:rsidRPr="00B97D44" w:rsidRDefault="00457D60" w:rsidP="00CF26AB">
      <w:pPr>
        <w:autoSpaceDE w:val="0"/>
        <w:autoSpaceDN w:val="0"/>
        <w:adjustRightInd w:val="0"/>
        <w:jc w:val="both"/>
      </w:pPr>
      <w:r w:rsidRPr="00B97D44">
        <w:tab/>
        <w:t>C</w:t>
      </w:r>
      <w:r w:rsidR="004D320D" w:rsidRPr="00B97D44">
        <w:t xml:space="preserve">arrapato bovino </w:t>
      </w:r>
      <w:proofErr w:type="spellStart"/>
      <w:r w:rsidR="004D320D" w:rsidRPr="00B97D44">
        <w:rPr>
          <w:i/>
        </w:rPr>
        <w:t>Rhipicephalus</w:t>
      </w:r>
      <w:proofErr w:type="spellEnd"/>
      <w:r w:rsidR="00013DC8" w:rsidRPr="00B97D44">
        <w:t xml:space="preserve"> (</w:t>
      </w:r>
      <w:proofErr w:type="spellStart"/>
      <w:r w:rsidR="004D320D" w:rsidRPr="00B97D44">
        <w:rPr>
          <w:i/>
        </w:rPr>
        <w:t>Boophilus</w:t>
      </w:r>
      <w:proofErr w:type="spellEnd"/>
      <w:r w:rsidR="00013DC8" w:rsidRPr="00B97D44">
        <w:rPr>
          <w:i/>
        </w:rPr>
        <w:t>)</w:t>
      </w:r>
      <w:proofErr w:type="spellStart"/>
      <w:r w:rsidR="004D320D" w:rsidRPr="00B97D44">
        <w:rPr>
          <w:i/>
        </w:rPr>
        <w:t>m</w:t>
      </w:r>
      <w:r w:rsidR="00013DC8" w:rsidRPr="00B97D44">
        <w:rPr>
          <w:i/>
        </w:rPr>
        <w:t>icroplus</w:t>
      </w:r>
      <w:proofErr w:type="spellEnd"/>
      <w:r w:rsidR="00C821B7" w:rsidRPr="00B97D44">
        <w:rPr>
          <w:i/>
        </w:rPr>
        <w:t xml:space="preserve"> </w:t>
      </w:r>
      <w:r w:rsidR="009259D9" w:rsidRPr="00B97D44">
        <w:t xml:space="preserve">é </w:t>
      </w:r>
      <w:r w:rsidR="004D320D" w:rsidRPr="00B97D44">
        <w:t xml:space="preserve">um dos ectoparasitas </w:t>
      </w:r>
      <w:r w:rsidR="00105A98" w:rsidRPr="00B97D44">
        <w:t>mais preju</w:t>
      </w:r>
      <w:r w:rsidR="00E837C0" w:rsidRPr="00B97D44">
        <w:t>diciais a</w:t>
      </w:r>
      <w:r w:rsidR="004D320D" w:rsidRPr="00B97D44">
        <w:t>o</w:t>
      </w:r>
      <w:r w:rsidR="00105A98" w:rsidRPr="00B97D44">
        <w:t>s</w:t>
      </w:r>
      <w:r w:rsidR="004D320D" w:rsidRPr="00B97D44">
        <w:t xml:space="preserve"> </w:t>
      </w:r>
      <w:r w:rsidR="00E837C0" w:rsidRPr="00B97D44">
        <w:t>bovinos. Isto se deve</w:t>
      </w:r>
      <w:r w:rsidR="004D320D" w:rsidRPr="00B97D44">
        <w:t xml:space="preserve"> </w:t>
      </w:r>
      <w:r w:rsidR="00E837C0" w:rsidRPr="00B97D44">
        <w:t>às</w:t>
      </w:r>
      <w:r w:rsidR="004D320D" w:rsidRPr="00B97D44">
        <w:t xml:space="preserve"> ações espoliadora, mecânica e tóxica</w:t>
      </w:r>
      <w:r w:rsidR="00F31DAF" w:rsidRPr="00B97D44">
        <w:t>, o</w:t>
      </w:r>
      <w:r w:rsidR="00320098" w:rsidRPr="00B97D44">
        <w:t>bserva</w:t>
      </w:r>
      <w:r w:rsidR="00F31DAF" w:rsidRPr="00B97D44">
        <w:t>ndo</w:t>
      </w:r>
      <w:r w:rsidR="00320098" w:rsidRPr="00B97D44">
        <w:t xml:space="preserve">-se </w:t>
      </w:r>
      <w:r w:rsidR="004D320D" w:rsidRPr="00B97D44">
        <w:t xml:space="preserve">perda de peso, </w:t>
      </w:r>
      <w:r w:rsidR="00320098" w:rsidRPr="00B97D44">
        <w:t>baixa produtividade</w:t>
      </w:r>
      <w:r w:rsidR="004D320D" w:rsidRPr="00B97D44">
        <w:t xml:space="preserve"> e falhas reprodutivas</w:t>
      </w:r>
      <w:r w:rsidR="00320098" w:rsidRPr="00B97D44">
        <w:t xml:space="preserve"> sobre os indivíduos parasitados</w:t>
      </w:r>
      <w:r w:rsidR="004D320D" w:rsidRPr="00B97D44">
        <w:t xml:space="preserve">. </w:t>
      </w:r>
    </w:p>
    <w:p w14:paraId="45D785E3" w14:textId="77777777" w:rsidR="004D320D" w:rsidRPr="00B97D44" w:rsidRDefault="00457D60" w:rsidP="00CF26AB">
      <w:pPr>
        <w:autoSpaceDE w:val="0"/>
        <w:autoSpaceDN w:val="0"/>
        <w:adjustRightInd w:val="0"/>
        <w:jc w:val="both"/>
      </w:pPr>
      <w:r w:rsidRPr="00B97D44">
        <w:tab/>
      </w:r>
      <w:r w:rsidR="00320098" w:rsidRPr="00B97D44">
        <w:t>Seu</w:t>
      </w:r>
      <w:r w:rsidR="004D320D" w:rsidRPr="00B97D44">
        <w:t xml:space="preserve"> controle é </w:t>
      </w:r>
      <w:r w:rsidR="00320098" w:rsidRPr="00B97D44">
        <w:t>usualmente realizado</w:t>
      </w:r>
      <w:r w:rsidR="004D320D" w:rsidRPr="00B97D44">
        <w:t xml:space="preserve"> a base de medicamentos </w:t>
      </w:r>
      <w:r w:rsidR="00320098" w:rsidRPr="00B97D44">
        <w:t>químicos</w:t>
      </w:r>
      <w:r w:rsidR="004D320D" w:rsidRPr="00B97D44">
        <w:t xml:space="preserve">, </w:t>
      </w:r>
      <w:r w:rsidR="003E46C7" w:rsidRPr="00B97D44">
        <w:t>os quais</w:t>
      </w:r>
      <w:r w:rsidR="004D320D" w:rsidRPr="00B97D44">
        <w:t xml:space="preserve"> provoca</w:t>
      </w:r>
      <w:r w:rsidR="00320098" w:rsidRPr="00B97D44">
        <w:t>m</w:t>
      </w:r>
      <w:r w:rsidR="004D320D" w:rsidRPr="00B97D44">
        <w:t xml:space="preserve"> resistência a</w:t>
      </w:r>
      <w:r w:rsidR="00480D2D" w:rsidRPr="00B97D44">
        <w:t>os</w:t>
      </w:r>
      <w:r w:rsidR="004D320D" w:rsidRPr="00B97D44">
        <w:t xml:space="preserve"> princípios ativos </w:t>
      </w:r>
      <w:r w:rsidR="00480D2D" w:rsidRPr="00B97D44">
        <w:t>comercialmente disponíveis</w:t>
      </w:r>
      <w:r w:rsidR="00D6509C" w:rsidRPr="00B97D44">
        <w:t xml:space="preserve"> (ANDREOTTI, 2010). R</w:t>
      </w:r>
      <w:r w:rsidR="004D320D" w:rsidRPr="00B97D44">
        <w:t xml:space="preserve">esíduos </w:t>
      </w:r>
      <w:r w:rsidR="00D6509C" w:rsidRPr="00B97D44">
        <w:t xml:space="preserve">medicamentosos </w:t>
      </w:r>
      <w:r w:rsidR="004D320D" w:rsidRPr="00B97D44">
        <w:t>nos animais</w:t>
      </w:r>
      <w:r w:rsidR="00D6509C" w:rsidRPr="00B97D44">
        <w:t xml:space="preserve">, </w:t>
      </w:r>
      <w:r w:rsidR="004D320D" w:rsidRPr="00B97D44">
        <w:t xml:space="preserve"> </w:t>
      </w:r>
      <w:r w:rsidR="00D6509C" w:rsidRPr="00B97D44">
        <w:t>alimentos, e meio</w:t>
      </w:r>
      <w:r w:rsidR="004D320D" w:rsidRPr="00B97D44">
        <w:t xml:space="preserve"> ambiente</w:t>
      </w:r>
      <w:r w:rsidR="00D6509C" w:rsidRPr="00B97D44">
        <w:t>,</w:t>
      </w:r>
      <w:r w:rsidR="004D320D" w:rsidRPr="00B97D44">
        <w:t xml:space="preserve"> </w:t>
      </w:r>
      <w:r w:rsidR="00D6509C" w:rsidRPr="00B97D44">
        <w:t>inclusive</w:t>
      </w:r>
      <w:r w:rsidR="004D320D" w:rsidRPr="00B97D44">
        <w:t xml:space="preserve"> sobre organismos não alvos</w:t>
      </w:r>
      <w:r w:rsidR="00D6509C" w:rsidRPr="00B97D44">
        <w:t>,</w:t>
      </w:r>
      <w:r w:rsidR="004D320D" w:rsidRPr="00B97D44">
        <w:t xml:space="preserve"> são fatores que </w:t>
      </w:r>
      <w:r w:rsidR="00320098" w:rsidRPr="00B97D44">
        <w:t>determinaram</w:t>
      </w:r>
      <w:r w:rsidR="004D320D" w:rsidRPr="00B97D44">
        <w:t xml:space="preserve"> a busca por controles </w:t>
      </w:r>
      <w:r w:rsidR="00320098" w:rsidRPr="00B97D44">
        <w:t xml:space="preserve">naturais </w:t>
      </w:r>
      <w:r w:rsidR="004D320D" w:rsidRPr="00B97D44">
        <w:t xml:space="preserve">(GIGLIOTI, 2010). </w:t>
      </w:r>
    </w:p>
    <w:p w14:paraId="78383DB0" w14:textId="77777777" w:rsidR="004D320D" w:rsidRPr="00B97D44" w:rsidRDefault="00320098" w:rsidP="00CF26AB">
      <w:pPr>
        <w:autoSpaceDE w:val="0"/>
        <w:autoSpaceDN w:val="0"/>
        <w:adjustRightInd w:val="0"/>
        <w:jc w:val="both"/>
      </w:pPr>
      <w:r w:rsidRPr="00B97D44">
        <w:tab/>
      </w:r>
      <w:r w:rsidR="004D320D" w:rsidRPr="00B97D44">
        <w:t xml:space="preserve">Muitas plantas vêm sendo utilizadas </w:t>
      </w:r>
      <w:r w:rsidRPr="00B97D44">
        <w:t>p</w:t>
      </w:r>
      <w:r w:rsidR="004D320D" w:rsidRPr="00B97D44">
        <w:t>ara</w:t>
      </w:r>
      <w:r w:rsidRPr="00B97D44">
        <w:t xml:space="preserve"> fins medicinais, inclusive no combate ao</w:t>
      </w:r>
      <w:r w:rsidR="004D320D" w:rsidRPr="00B97D44">
        <w:t xml:space="preserve"> </w:t>
      </w:r>
      <w:proofErr w:type="spellStart"/>
      <w:r w:rsidR="004D320D" w:rsidRPr="00B97D44">
        <w:rPr>
          <w:i/>
        </w:rPr>
        <w:t>Rhipicephalus</w:t>
      </w:r>
      <w:proofErr w:type="spellEnd"/>
      <w:r w:rsidR="004D320D" w:rsidRPr="00B97D44">
        <w:rPr>
          <w:i/>
        </w:rPr>
        <w:t xml:space="preserve"> (</w:t>
      </w:r>
      <w:proofErr w:type="spellStart"/>
      <w:r w:rsidR="004D320D" w:rsidRPr="00B97D44">
        <w:rPr>
          <w:i/>
          <w:iCs/>
        </w:rPr>
        <w:t>Boophilus</w:t>
      </w:r>
      <w:proofErr w:type="spellEnd"/>
      <w:r w:rsidR="004D320D" w:rsidRPr="00B97D44">
        <w:rPr>
          <w:i/>
          <w:iCs/>
        </w:rPr>
        <w:t>)</w:t>
      </w:r>
      <w:proofErr w:type="spellStart"/>
      <w:r w:rsidR="004D320D" w:rsidRPr="00B97D44">
        <w:rPr>
          <w:i/>
          <w:iCs/>
        </w:rPr>
        <w:t>microplus</w:t>
      </w:r>
      <w:proofErr w:type="spellEnd"/>
      <w:r w:rsidRPr="00B97D44">
        <w:t xml:space="preserve"> (HOCAYEN e PIMENTA, 2013), dentre elas destaca-se </w:t>
      </w:r>
      <w:r w:rsidR="00184E6A" w:rsidRPr="00B97D44">
        <w:t>o</w:t>
      </w:r>
      <w:r w:rsidR="00105A98" w:rsidRPr="00B97D44">
        <w:t xml:space="preserve"> óleo de copaíba. Extraído d</w:t>
      </w:r>
      <w:r w:rsidR="00C821B7" w:rsidRPr="00B97D44">
        <w:t>a árvore conhecida</w:t>
      </w:r>
      <w:r w:rsidR="004D320D" w:rsidRPr="00B97D44">
        <w:t xml:space="preserve"> “</w:t>
      </w:r>
      <w:proofErr w:type="spellStart"/>
      <w:r w:rsidR="004D320D" w:rsidRPr="00B97D44">
        <w:t>copaibeiras</w:t>
      </w:r>
      <w:proofErr w:type="spellEnd"/>
      <w:r w:rsidR="004D320D" w:rsidRPr="00B97D44">
        <w:t>” ou “pau</w:t>
      </w:r>
      <w:r w:rsidR="009259D9" w:rsidRPr="00B97D44">
        <w:t xml:space="preserve"> </w:t>
      </w:r>
      <w:r w:rsidR="004D320D" w:rsidRPr="00B97D44">
        <w:t xml:space="preserve">d’óleo”, o gênero </w:t>
      </w:r>
      <w:proofErr w:type="spellStart"/>
      <w:r w:rsidR="004D320D" w:rsidRPr="00B97D44">
        <w:rPr>
          <w:i/>
        </w:rPr>
        <w:t>Copaifera</w:t>
      </w:r>
      <w:proofErr w:type="spellEnd"/>
      <w:r w:rsidR="004D320D" w:rsidRPr="00B97D44">
        <w:rPr>
          <w:i/>
        </w:rPr>
        <w:t xml:space="preserve"> </w:t>
      </w:r>
      <w:r w:rsidR="004D320D" w:rsidRPr="00B97D44">
        <w:t xml:space="preserve">é </w:t>
      </w:r>
      <w:r w:rsidR="004D320D" w:rsidRPr="00B97D44">
        <w:lastRenderedPageBreak/>
        <w:t xml:space="preserve">nativo da América Latina e África Ocidental, com distribuição nas regiões amazônicas e centro-oeste do Brasil (SOUSA </w:t>
      </w:r>
      <w:r w:rsidR="004D320D" w:rsidRPr="00B97D44">
        <w:rPr>
          <w:i/>
        </w:rPr>
        <w:t>et al.,</w:t>
      </w:r>
      <w:r w:rsidR="004D320D" w:rsidRPr="00B97D44">
        <w:t xml:space="preserve"> 2012). </w:t>
      </w:r>
      <w:r w:rsidR="004D320D" w:rsidRPr="00B97D44">
        <w:rPr>
          <w:rStyle w:val="A13"/>
          <w:rFonts w:cs="Times New Roman"/>
          <w:sz w:val="24"/>
          <w:szCs w:val="24"/>
        </w:rPr>
        <w:t xml:space="preserve">Atualmente </w:t>
      </w:r>
      <w:r w:rsidR="00105A98" w:rsidRPr="00B97D44">
        <w:rPr>
          <w:rStyle w:val="A13"/>
          <w:rFonts w:cs="Times New Roman"/>
          <w:sz w:val="24"/>
          <w:szCs w:val="24"/>
        </w:rPr>
        <w:t>utiliza-se como</w:t>
      </w:r>
      <w:r w:rsidR="00CF26AB" w:rsidRPr="00B97D44">
        <w:rPr>
          <w:rStyle w:val="A13"/>
          <w:rFonts w:cs="Times New Roman"/>
          <w:sz w:val="24"/>
          <w:szCs w:val="24"/>
        </w:rPr>
        <w:t xml:space="preserve"> como</w:t>
      </w:r>
      <w:r w:rsidR="005C7AF1" w:rsidRPr="00B97D44">
        <w:t xml:space="preserve"> antisséptico</w:t>
      </w:r>
      <w:r w:rsidR="00C96CD1" w:rsidRPr="00B97D44">
        <w:t>,</w:t>
      </w:r>
      <w:r w:rsidR="005C7AF1" w:rsidRPr="00B97D44">
        <w:t xml:space="preserve"> </w:t>
      </w:r>
      <w:r w:rsidR="00C96CD1" w:rsidRPr="00B97D44">
        <w:rPr>
          <w:bCs/>
        </w:rPr>
        <w:t xml:space="preserve">cicatrizante </w:t>
      </w:r>
      <w:r w:rsidR="004D320D" w:rsidRPr="00B97D44">
        <w:t>(VEIGA JUNIOR e PINTO, 2002), inseticida e repelente de insetos (</w:t>
      </w:r>
      <w:r w:rsidR="004D320D" w:rsidRPr="00B97D44">
        <w:rPr>
          <w:bCs/>
        </w:rPr>
        <w:t>RIBAS e CARREÑO, 2010).</w:t>
      </w:r>
      <w:r w:rsidR="00724556" w:rsidRPr="00B97D44">
        <w:rPr>
          <w:rStyle w:val="CommentReference"/>
          <w:sz w:val="24"/>
          <w:szCs w:val="24"/>
        </w:rPr>
        <w:t xml:space="preserve"> </w:t>
      </w:r>
      <w:r w:rsidR="00184E6A" w:rsidRPr="00B97D44">
        <w:rPr>
          <w:rStyle w:val="CommentReference"/>
          <w:sz w:val="24"/>
          <w:szCs w:val="24"/>
        </w:rPr>
        <w:t>Entretanto, estudos adicionais são sugeridos a fim</w:t>
      </w:r>
      <w:r w:rsidR="004D320D" w:rsidRPr="00B97D44">
        <w:t xml:space="preserve"> de analisar as atividades das diferentes frações </w:t>
      </w:r>
      <w:r w:rsidR="00105A98" w:rsidRPr="00B97D44">
        <w:t>possibilitando</w:t>
      </w:r>
      <w:r w:rsidR="004D320D" w:rsidRPr="00B97D44">
        <w:t xml:space="preserve"> novas alternativas terapêuticas (LIMA e LIMA, 2012).</w:t>
      </w:r>
      <w:r w:rsidR="00184E6A" w:rsidRPr="00B97D44">
        <w:t xml:space="preserve"> Dessa forma,</w:t>
      </w:r>
      <w:r w:rsidR="00184E6A" w:rsidRPr="00B97D44">
        <w:rPr>
          <w:rStyle w:val="A13"/>
          <w:rFonts w:cs="Times New Roman"/>
          <w:sz w:val="24"/>
          <w:szCs w:val="24"/>
        </w:rPr>
        <w:t xml:space="preserve"> objetivou-se avaliar </w:t>
      </w:r>
      <w:r w:rsidR="00184E6A" w:rsidRPr="00B97D44">
        <w:t xml:space="preserve">o potencial acaricida </w:t>
      </w:r>
      <w:r w:rsidR="007E7143" w:rsidRPr="00B97D44">
        <w:t>(</w:t>
      </w:r>
      <w:r w:rsidR="007E7143" w:rsidRPr="00B97D44">
        <w:rPr>
          <w:i/>
        </w:rPr>
        <w:t>in vitro</w:t>
      </w:r>
      <w:r w:rsidR="007E7143" w:rsidRPr="00B97D44">
        <w:t xml:space="preserve">) </w:t>
      </w:r>
      <w:r w:rsidR="00184E6A" w:rsidRPr="00B97D44">
        <w:t xml:space="preserve">do óleo de copaíba comercial sobre </w:t>
      </w:r>
      <w:proofErr w:type="spellStart"/>
      <w:r w:rsidR="00184E6A" w:rsidRPr="00B97D44">
        <w:rPr>
          <w:i/>
        </w:rPr>
        <w:t>Rhiphicephalus</w:t>
      </w:r>
      <w:proofErr w:type="spellEnd"/>
      <w:r w:rsidR="00184E6A" w:rsidRPr="00B97D44">
        <w:rPr>
          <w:i/>
        </w:rPr>
        <w:t xml:space="preserve"> (</w:t>
      </w:r>
      <w:proofErr w:type="spellStart"/>
      <w:r w:rsidR="00184E6A" w:rsidRPr="00B97D44">
        <w:rPr>
          <w:i/>
        </w:rPr>
        <w:t>Boophilus</w:t>
      </w:r>
      <w:proofErr w:type="spellEnd"/>
      <w:r w:rsidR="00184E6A" w:rsidRPr="00B97D44">
        <w:rPr>
          <w:i/>
        </w:rPr>
        <w:t xml:space="preserve">) </w:t>
      </w:r>
      <w:proofErr w:type="spellStart"/>
      <w:r w:rsidR="00184E6A" w:rsidRPr="00B97D44">
        <w:rPr>
          <w:i/>
        </w:rPr>
        <w:t>microplus</w:t>
      </w:r>
      <w:proofErr w:type="spellEnd"/>
      <w:r w:rsidR="00184E6A" w:rsidRPr="00B97D44">
        <w:t>.</w:t>
      </w:r>
    </w:p>
    <w:p w14:paraId="20A37C2E" w14:textId="77777777" w:rsidR="004262A7" w:rsidRPr="00B97D44" w:rsidRDefault="004262A7" w:rsidP="00CF26AB">
      <w:pPr>
        <w:jc w:val="both"/>
      </w:pPr>
    </w:p>
    <w:p w14:paraId="3ADFB246" w14:textId="77777777" w:rsidR="004262A7" w:rsidRPr="00B97D44" w:rsidRDefault="00D93AA5" w:rsidP="00CF26AB">
      <w:pPr>
        <w:jc w:val="both"/>
      </w:pPr>
      <w:r w:rsidRPr="00B97D44">
        <w:rPr>
          <w:b/>
        </w:rPr>
        <w:t xml:space="preserve">Material e métodos </w:t>
      </w:r>
    </w:p>
    <w:p w14:paraId="32C6FECC" w14:textId="77777777" w:rsidR="005C7AF1" w:rsidRPr="00B97D44" w:rsidRDefault="005C7AF1" w:rsidP="00CF26AB">
      <w:pPr>
        <w:autoSpaceDE w:val="0"/>
        <w:autoSpaceDN w:val="0"/>
        <w:adjustRightInd w:val="0"/>
        <w:jc w:val="both"/>
        <w:rPr>
          <w:i/>
        </w:rPr>
      </w:pPr>
    </w:p>
    <w:p w14:paraId="1729AA02" w14:textId="77777777" w:rsidR="00374284" w:rsidRPr="00B97D44" w:rsidRDefault="00457D60" w:rsidP="00CF26AB">
      <w:pPr>
        <w:autoSpaceDE w:val="0"/>
        <w:autoSpaceDN w:val="0"/>
        <w:adjustRightInd w:val="0"/>
        <w:jc w:val="both"/>
      </w:pPr>
      <w:r w:rsidRPr="00B97D44">
        <w:rPr>
          <w:iCs/>
        </w:rPr>
        <w:tab/>
      </w:r>
      <w:r w:rsidR="00013DC8" w:rsidRPr="00B97D44">
        <w:rPr>
          <w:iCs/>
        </w:rPr>
        <w:t xml:space="preserve">Os </w:t>
      </w:r>
      <w:r w:rsidR="00184E6A" w:rsidRPr="00B97D44">
        <w:rPr>
          <w:iCs/>
        </w:rPr>
        <w:t xml:space="preserve">carrapatos utilizados para o presente estudo foram coletados de </w:t>
      </w:r>
      <w:r w:rsidR="00013DC8" w:rsidRPr="00B97D44">
        <w:rPr>
          <w:iCs/>
        </w:rPr>
        <w:t>bovinos</w:t>
      </w:r>
      <w:r w:rsidR="007E7143" w:rsidRPr="00B97D44">
        <w:rPr>
          <w:iCs/>
        </w:rPr>
        <w:t xml:space="preserve">, </w:t>
      </w:r>
      <w:r w:rsidR="00184E6A" w:rsidRPr="00B97D44">
        <w:rPr>
          <w:iCs/>
        </w:rPr>
        <w:t>naturalmente</w:t>
      </w:r>
      <w:r w:rsidR="007E7143" w:rsidRPr="00B97D44">
        <w:rPr>
          <w:iCs/>
        </w:rPr>
        <w:t>,</w:t>
      </w:r>
      <w:r w:rsidR="00184E6A" w:rsidRPr="00B97D44">
        <w:rPr>
          <w:iCs/>
        </w:rPr>
        <w:t xml:space="preserve"> infestados e ausentes de </w:t>
      </w:r>
      <w:r w:rsidR="00013DC8" w:rsidRPr="00B97D44">
        <w:rPr>
          <w:iCs/>
        </w:rPr>
        <w:t xml:space="preserve">tratamento químico por mais de 90 dias (FILHO, 2013). </w:t>
      </w:r>
      <w:r w:rsidR="00CC3366" w:rsidRPr="00B97D44">
        <w:rPr>
          <w:iCs/>
        </w:rPr>
        <w:t>Fo</w:t>
      </w:r>
      <w:r w:rsidR="00184E6A" w:rsidRPr="00B97D44">
        <w:rPr>
          <w:iCs/>
        </w:rPr>
        <w:t>ram</w:t>
      </w:r>
      <w:r w:rsidR="00CC3366" w:rsidRPr="00B97D44">
        <w:rPr>
          <w:iCs/>
        </w:rPr>
        <w:t xml:space="preserve"> c</w:t>
      </w:r>
      <w:r w:rsidR="00CC3366" w:rsidRPr="00B97D44">
        <w:t>oleta</w:t>
      </w:r>
      <w:r w:rsidR="00184E6A" w:rsidRPr="00B97D44">
        <w:t>das fêmeas ingurgitadas apresentando comprimentos iguais ou superiores à 4,5 mm,</w:t>
      </w:r>
      <w:r w:rsidR="00013DC8" w:rsidRPr="00B97D44">
        <w:t xml:space="preserve"> </w:t>
      </w:r>
      <w:r w:rsidR="00CC3366" w:rsidRPr="00B97D44">
        <w:t xml:space="preserve">por rotação, </w:t>
      </w:r>
      <w:r w:rsidR="00013DC8" w:rsidRPr="00B97D44">
        <w:t>com auxílio de pin</w:t>
      </w:r>
      <w:r w:rsidR="00374284" w:rsidRPr="00B97D44">
        <w:t xml:space="preserve">ça entomológica a fim de evitar danos ao </w:t>
      </w:r>
      <w:proofErr w:type="spellStart"/>
      <w:r w:rsidR="00374284" w:rsidRPr="00B97D44">
        <w:t>gnatossoma</w:t>
      </w:r>
      <w:proofErr w:type="spellEnd"/>
      <w:r w:rsidR="00013DC8" w:rsidRPr="00B97D44">
        <w:t xml:space="preserve"> (OLIVO </w:t>
      </w:r>
      <w:r w:rsidR="00013DC8" w:rsidRPr="00B97D44">
        <w:rPr>
          <w:i/>
        </w:rPr>
        <w:t>et al.,</w:t>
      </w:r>
      <w:r w:rsidR="00CF26AB" w:rsidRPr="00B97D44">
        <w:t xml:space="preserve"> 2013). </w:t>
      </w:r>
      <w:r w:rsidR="00724556" w:rsidRPr="00B97D44">
        <w:rPr>
          <w:rFonts w:eastAsia="Arial"/>
        </w:rPr>
        <w:t>Os procedimentos foram realizados no</w:t>
      </w:r>
      <w:r w:rsidR="00013DC8" w:rsidRPr="00B97D44">
        <w:rPr>
          <w:rFonts w:eastAsia="Arial"/>
        </w:rPr>
        <w:t xml:space="preserve"> laboratório </w:t>
      </w:r>
      <w:proofErr w:type="spellStart"/>
      <w:r w:rsidR="00013DC8" w:rsidRPr="00B97D44">
        <w:rPr>
          <w:rFonts w:eastAsia="Arial"/>
        </w:rPr>
        <w:t>Laboles&amp;Bioterápic</w:t>
      </w:r>
      <w:proofErr w:type="spellEnd"/>
      <w:r w:rsidR="00013DC8" w:rsidRPr="00B97D44">
        <w:rPr>
          <w:rFonts w:eastAsia="Arial"/>
        </w:rPr>
        <w:t>, na UENP</w:t>
      </w:r>
      <w:r w:rsidR="00724556" w:rsidRPr="00B97D44">
        <w:rPr>
          <w:rFonts w:eastAsia="Arial"/>
        </w:rPr>
        <w:t>,</w:t>
      </w:r>
      <w:r w:rsidR="00013DC8" w:rsidRPr="00B97D44">
        <w:rPr>
          <w:rFonts w:eastAsia="Arial"/>
        </w:rPr>
        <w:t xml:space="preserve"> Bandeirantes-PR.</w:t>
      </w:r>
      <w:r w:rsidR="00724556" w:rsidRPr="00B97D44">
        <w:t xml:space="preserve"> Os carrapatos foram</w:t>
      </w:r>
      <w:r w:rsidR="00013DC8" w:rsidRPr="00B97D44">
        <w:t xml:space="preserve"> </w:t>
      </w:r>
      <w:r w:rsidR="00724556" w:rsidRPr="00B97D44">
        <w:t>lavados em água corrente</w:t>
      </w:r>
      <w:r w:rsidR="00374284" w:rsidRPr="00B97D44">
        <w:t>,</w:t>
      </w:r>
      <w:r w:rsidR="00013DC8" w:rsidRPr="00B97D44">
        <w:t xml:space="preserve"> </w:t>
      </w:r>
      <w:r w:rsidR="00374284" w:rsidRPr="00B97D44">
        <w:t>seco</w:t>
      </w:r>
      <w:r w:rsidR="00013DC8" w:rsidRPr="00B97D44">
        <w:t xml:space="preserve">s </w:t>
      </w:r>
      <w:r w:rsidR="00724556" w:rsidRPr="00B97D44">
        <w:t xml:space="preserve">em papel absorvente </w:t>
      </w:r>
      <w:r w:rsidR="00374284" w:rsidRPr="00B97D44">
        <w:t>e avaliados quanto sua classificação</w:t>
      </w:r>
      <w:r w:rsidR="00013DC8" w:rsidRPr="00B97D44">
        <w:t xml:space="preserve"> taxonômica baseada em </w:t>
      </w:r>
      <w:proofErr w:type="spellStart"/>
      <w:r w:rsidR="00013DC8" w:rsidRPr="00B97D44">
        <w:t>Cordovés</w:t>
      </w:r>
      <w:proofErr w:type="spellEnd"/>
      <w:r w:rsidR="00013DC8" w:rsidRPr="00B97D44">
        <w:t xml:space="preserve"> (1997). </w:t>
      </w:r>
    </w:p>
    <w:p w14:paraId="346BD6A9" w14:textId="77777777" w:rsidR="00374284" w:rsidRPr="00B97D44" w:rsidRDefault="00374284" w:rsidP="00CF26AB">
      <w:pPr>
        <w:autoSpaceDE w:val="0"/>
        <w:autoSpaceDN w:val="0"/>
        <w:adjustRightInd w:val="0"/>
        <w:jc w:val="both"/>
      </w:pPr>
      <w:r w:rsidRPr="00B97D44">
        <w:tab/>
        <w:t>Posteriormente, distribuiu</w:t>
      </w:r>
      <w:r w:rsidR="00013DC8" w:rsidRPr="00B97D44">
        <w:t xml:space="preserve">-se </w:t>
      </w:r>
      <w:r w:rsidRPr="00B97D44">
        <w:t xml:space="preserve">as </w:t>
      </w:r>
      <w:proofErr w:type="spellStart"/>
      <w:r w:rsidRPr="00B97D44">
        <w:t>teleóginas</w:t>
      </w:r>
      <w:proofErr w:type="spellEnd"/>
      <w:r w:rsidRPr="00B97D44">
        <w:t xml:space="preserve"> </w:t>
      </w:r>
      <w:r w:rsidR="00013DC8" w:rsidRPr="00B97D44">
        <w:t>em categorias: Pequ</w:t>
      </w:r>
      <w:r w:rsidR="00CC3366" w:rsidRPr="00B97D44">
        <w:t>enas</w:t>
      </w:r>
      <w:r w:rsidR="00013DC8" w:rsidRPr="00B97D44">
        <w:t xml:space="preserve"> </w:t>
      </w:r>
      <w:r w:rsidR="00CC3366" w:rsidRPr="00B97D44">
        <w:t>(&gt;4,5 e &lt;7,5 mm),</w:t>
      </w:r>
      <w:r w:rsidR="00013DC8" w:rsidRPr="00B97D44">
        <w:t xml:space="preserve"> Médias </w:t>
      </w:r>
      <w:r w:rsidR="00CC3366" w:rsidRPr="00B97D44">
        <w:t>(&gt;7,5 e &lt;9,0 mm)</w:t>
      </w:r>
      <w:r w:rsidR="00013DC8" w:rsidRPr="00B97D44">
        <w:t xml:space="preserve"> e Grandes </w:t>
      </w:r>
      <w:r w:rsidR="00CC3366" w:rsidRPr="00B97D44">
        <w:t>(</w:t>
      </w:r>
      <w:r w:rsidR="00013DC8" w:rsidRPr="00B97D44">
        <w:t>&gt;9,0 mm</w:t>
      </w:r>
      <w:r w:rsidR="00CC3366" w:rsidRPr="00B97D44">
        <w:t>)</w:t>
      </w:r>
      <w:r w:rsidR="00013DC8" w:rsidRPr="00B97D44">
        <w:t xml:space="preserve">. </w:t>
      </w:r>
      <w:r w:rsidRPr="00B97D44">
        <w:t>Para tanto utilizou-se paquímetro (mm), e a</w:t>
      </w:r>
      <w:r w:rsidR="00013DC8" w:rsidRPr="00B97D44">
        <w:t xml:space="preserve">s </w:t>
      </w:r>
      <w:proofErr w:type="spellStart"/>
      <w:r w:rsidR="00013DC8" w:rsidRPr="00B97D44">
        <w:t>teleóginas</w:t>
      </w:r>
      <w:proofErr w:type="spellEnd"/>
      <w:r w:rsidR="00013DC8" w:rsidRPr="00B97D44">
        <w:t xml:space="preserve"> menores que 4,5mm </w:t>
      </w:r>
      <w:r w:rsidRPr="00B97D44">
        <w:t>foram</w:t>
      </w:r>
      <w:r w:rsidR="00013DC8" w:rsidRPr="00B97D44">
        <w:t xml:space="preserve"> descartadas.</w:t>
      </w:r>
      <w:r w:rsidRPr="00B97D44">
        <w:t xml:space="preserve"> Os carrapatos foram pesados em balança analítica</w:t>
      </w:r>
      <w:r w:rsidR="00013DC8" w:rsidRPr="00B97D44">
        <w:t xml:space="preserve"> </w:t>
      </w:r>
      <w:r w:rsidRPr="00B97D44">
        <w:t>(</w:t>
      </w:r>
      <w:r w:rsidR="00013DC8" w:rsidRPr="00B97D44">
        <w:t>precisão 0,001g</w:t>
      </w:r>
      <w:r w:rsidRPr="00B97D44">
        <w:t>) e distribuídos, aleatoriamente, nos seguintes tratamentos: c</w:t>
      </w:r>
      <w:r w:rsidRPr="00B97D44">
        <w:rPr>
          <w:bCs/>
        </w:rPr>
        <w:t xml:space="preserve">ontrole positivo (T1-ivermectina </w:t>
      </w:r>
      <w:r w:rsidR="00C96CD1" w:rsidRPr="00B97D44">
        <w:rPr>
          <w:bCs/>
        </w:rPr>
        <w:t>1</w:t>
      </w:r>
      <w:r w:rsidRPr="00B97D44">
        <w:rPr>
          <w:bCs/>
        </w:rPr>
        <w:t>%)</w:t>
      </w:r>
      <w:r w:rsidRPr="00B97D44">
        <w:t>, c</w:t>
      </w:r>
      <w:r w:rsidRPr="00B97D44">
        <w:rPr>
          <w:bCs/>
        </w:rPr>
        <w:t xml:space="preserve">ontrole testemunha (T2- água destilada), controle negativo (T3- óleo mineral), tratamento óleo de copaíba comercial a 10%,  40% e 80%. Para cada um dos tratamentos, foram realizadas 4 repetições, utilizando-se </w:t>
      </w:r>
      <w:r w:rsidR="00013DC8" w:rsidRPr="00B97D44">
        <w:t xml:space="preserve">10 </w:t>
      </w:r>
      <w:proofErr w:type="spellStart"/>
      <w:r w:rsidR="00013DC8" w:rsidRPr="00B97D44">
        <w:t>teleóginas</w:t>
      </w:r>
      <w:proofErr w:type="spellEnd"/>
      <w:r w:rsidR="00CC3366" w:rsidRPr="00B97D44">
        <w:t xml:space="preserve"> </w:t>
      </w:r>
      <w:r w:rsidR="00013DC8" w:rsidRPr="00B97D44">
        <w:t>para cad</w:t>
      </w:r>
      <w:r w:rsidR="00CC3366" w:rsidRPr="00B97D44">
        <w:t>a repetição</w:t>
      </w:r>
      <w:r w:rsidRPr="00B97D44">
        <w:t>;</w:t>
      </w:r>
      <w:r w:rsidR="00CC3366" w:rsidRPr="00B97D44">
        <w:t xml:space="preserve"> </w:t>
      </w:r>
      <w:r w:rsidRPr="00B97D44">
        <w:t xml:space="preserve">totalizando 240 </w:t>
      </w:r>
      <w:proofErr w:type="spellStart"/>
      <w:r w:rsidRPr="00B97D44">
        <w:t>teleóginas</w:t>
      </w:r>
      <w:proofErr w:type="spellEnd"/>
      <w:r w:rsidRPr="00B97D44">
        <w:t xml:space="preserve">. </w:t>
      </w:r>
    </w:p>
    <w:p w14:paraId="2816D342" w14:textId="77777777" w:rsidR="00F03B26" w:rsidRPr="00B97D44" w:rsidRDefault="00374284" w:rsidP="00CF26AB">
      <w:pPr>
        <w:autoSpaceDE w:val="0"/>
        <w:autoSpaceDN w:val="0"/>
        <w:adjustRightInd w:val="0"/>
        <w:jc w:val="both"/>
      </w:pPr>
      <w:r w:rsidRPr="00B97D44">
        <w:tab/>
        <w:t>A</w:t>
      </w:r>
      <w:r w:rsidR="00C96CD1" w:rsidRPr="00B97D44">
        <w:t xml:space="preserve"> </w:t>
      </w:r>
      <w:r w:rsidRPr="00B97D44">
        <w:t>eficácia do produto foi ava</w:t>
      </w:r>
      <w:r w:rsidR="00F03B26" w:rsidRPr="00B97D44">
        <w:t>liada por meio do</w:t>
      </w:r>
      <w:r w:rsidR="00CC3366" w:rsidRPr="00B97D44">
        <w:t xml:space="preserve"> teste de imersão de </w:t>
      </w:r>
      <w:r w:rsidRPr="00B97D44">
        <w:t>adultos (TIA)</w:t>
      </w:r>
      <w:r w:rsidR="00CC3366" w:rsidRPr="00B97D44">
        <w:t xml:space="preserve"> </w:t>
      </w:r>
      <w:r w:rsidRPr="00B97D44">
        <w:t>durante</w:t>
      </w:r>
      <w:r w:rsidR="00CC3366" w:rsidRPr="00B97D44">
        <w:t xml:space="preserve"> 5 minutos</w:t>
      </w:r>
      <w:r w:rsidRPr="00B97D44">
        <w:t>, conf</w:t>
      </w:r>
      <w:r w:rsidR="00C96CD1" w:rsidRPr="00B97D44">
        <w:t xml:space="preserve">orme </w:t>
      </w:r>
      <w:r w:rsidR="00C063EA" w:rsidRPr="00B97D44">
        <w:rPr>
          <w:rFonts w:eastAsia="Arial"/>
        </w:rPr>
        <w:t xml:space="preserve">Drummond </w:t>
      </w:r>
      <w:r w:rsidR="00C063EA" w:rsidRPr="00B97D44">
        <w:rPr>
          <w:rFonts w:eastAsia="Arial"/>
          <w:i/>
        </w:rPr>
        <w:t>et al.</w:t>
      </w:r>
      <w:r w:rsidR="00F03B26" w:rsidRPr="00B97D44">
        <w:rPr>
          <w:rFonts w:eastAsia="Arial"/>
        </w:rPr>
        <w:t xml:space="preserve"> (1973), considerando-se:</w:t>
      </w:r>
      <w:r w:rsidRPr="00B97D44">
        <w:rPr>
          <w:rFonts w:eastAsia="Arial"/>
        </w:rPr>
        <w:t xml:space="preserve"> </w:t>
      </w:r>
      <w:r w:rsidR="00C063EA" w:rsidRPr="00B97D44">
        <w:t>índice de mortalidade,</w:t>
      </w:r>
      <w:r w:rsidRPr="00B97D44">
        <w:t xml:space="preserve"> produção de ovos</w:t>
      </w:r>
      <w:r w:rsidR="0007604C" w:rsidRPr="00B97D44">
        <w:t xml:space="preserve"> </w:t>
      </w:r>
      <w:r w:rsidR="0007604C" w:rsidRPr="00B97D44">
        <w:rPr>
          <w:rFonts w:eastAsia="Arial"/>
        </w:rPr>
        <w:t>(IPO)</w:t>
      </w:r>
      <w:r w:rsidRPr="00B97D44">
        <w:t xml:space="preserve">, índices de </w:t>
      </w:r>
      <w:proofErr w:type="spellStart"/>
      <w:r w:rsidRPr="00B97D44">
        <w:t>eclodibilidade</w:t>
      </w:r>
      <w:proofErr w:type="spellEnd"/>
      <w:r w:rsidRPr="00B97D44">
        <w:t xml:space="preserve">, </w:t>
      </w:r>
      <w:r w:rsidRPr="00B97D44">
        <w:rPr>
          <w:rFonts w:eastAsia="Arial"/>
        </w:rPr>
        <w:t>reprodução estimada e a eficácia do produto</w:t>
      </w:r>
      <w:r w:rsidR="00F03B26" w:rsidRPr="00B97D44">
        <w:rPr>
          <w:rFonts w:eastAsia="Arial"/>
        </w:rPr>
        <w:t xml:space="preserve">. </w:t>
      </w:r>
      <w:r w:rsidR="00F03B26" w:rsidRPr="00B97D44">
        <w:t>Considerou-se eficaz o produto que apresentou valor mínimo de 95%, conforme legislação brasileira pertinente à comercialização de carrapaticidas no País (BRASIL, 1990).</w:t>
      </w:r>
    </w:p>
    <w:p w14:paraId="0EB357DB" w14:textId="77777777" w:rsidR="00D6407A" w:rsidRPr="00B97D44" w:rsidRDefault="00F03B26" w:rsidP="0024301B">
      <w:pPr>
        <w:autoSpaceDE w:val="0"/>
        <w:autoSpaceDN w:val="0"/>
        <w:adjustRightInd w:val="0"/>
        <w:jc w:val="both"/>
      </w:pPr>
      <w:r w:rsidRPr="00B97D44">
        <w:rPr>
          <w:rFonts w:eastAsia="Arial"/>
        </w:rPr>
        <w:tab/>
      </w:r>
      <w:r w:rsidRPr="00B97D44">
        <w:t xml:space="preserve">As </w:t>
      </w:r>
      <w:proofErr w:type="spellStart"/>
      <w:r w:rsidRPr="00B97D44">
        <w:t>teleóginas</w:t>
      </w:r>
      <w:proofErr w:type="spellEnd"/>
      <w:r w:rsidRPr="00B97D44">
        <w:t xml:space="preserve"> foram incubadas </w:t>
      </w:r>
      <w:r w:rsidRPr="00B97D44">
        <w:rPr>
          <w:rFonts w:eastAsia="Arial"/>
        </w:rPr>
        <w:t>à incubadora de Demanda Biológica de Oxigênio (B.O.D), com temperatura de ± 27 °C e umidade relativa ± 80%, por 15 dias consecutivos. Após esse período, os ovos foram pesados e transferidos para tubos de ensaios de vidros estéreis, devidamente identificados e vedados. Posteriormente</w:t>
      </w:r>
      <w:r w:rsidR="00374284" w:rsidRPr="00B97D44">
        <w:rPr>
          <w:rFonts w:eastAsia="Arial"/>
        </w:rPr>
        <w:t xml:space="preserve">, os ovos foram </w:t>
      </w:r>
      <w:r w:rsidR="00374284" w:rsidRPr="00B97D44">
        <w:t xml:space="preserve">encaminhadas </w:t>
      </w:r>
      <w:r w:rsidR="00374284" w:rsidRPr="00B97D44">
        <w:rPr>
          <w:rFonts w:eastAsia="Arial"/>
        </w:rPr>
        <w:t xml:space="preserve">à </w:t>
      </w:r>
      <w:r w:rsidR="007E7143" w:rsidRPr="00B97D44">
        <w:rPr>
          <w:rFonts w:eastAsia="Arial"/>
        </w:rPr>
        <w:t xml:space="preserve">estufa </w:t>
      </w:r>
      <w:r w:rsidR="00C14027" w:rsidRPr="00B97D44">
        <w:rPr>
          <w:rFonts w:eastAsia="Arial"/>
        </w:rPr>
        <w:t>B.O.D, sob as mesmas condições anteriormente descritas por 25 dias consecutivos</w:t>
      </w:r>
      <w:r w:rsidR="00374284" w:rsidRPr="00B97D44">
        <w:t>.</w:t>
      </w:r>
      <w:r w:rsidR="0007604C" w:rsidRPr="00B97D44">
        <w:t xml:space="preserve"> </w:t>
      </w:r>
      <w:r w:rsidR="00AD0A9E" w:rsidRPr="00B97D44">
        <w:rPr>
          <w:rFonts w:eastAsia="Arial"/>
        </w:rPr>
        <w:t xml:space="preserve">A </w:t>
      </w:r>
      <w:r w:rsidRPr="00B97D44">
        <w:rPr>
          <w:rFonts w:eastAsia="Arial"/>
        </w:rPr>
        <w:t>eclosão da</w:t>
      </w:r>
      <w:r w:rsidR="00AD0A9E" w:rsidRPr="00B97D44">
        <w:rPr>
          <w:rFonts w:eastAsia="Arial"/>
        </w:rPr>
        <w:t xml:space="preserve">s </w:t>
      </w:r>
      <w:r w:rsidRPr="00B97D44">
        <w:rPr>
          <w:rFonts w:eastAsia="Arial"/>
        </w:rPr>
        <w:t xml:space="preserve">larvas </w:t>
      </w:r>
      <w:r w:rsidR="00AD0A9E" w:rsidRPr="00B97D44">
        <w:rPr>
          <w:rFonts w:eastAsia="Arial"/>
        </w:rPr>
        <w:t xml:space="preserve">foi avaliada pela contagem das </w:t>
      </w:r>
      <w:r w:rsidRPr="00B97D44">
        <w:rPr>
          <w:rFonts w:eastAsia="Arial"/>
        </w:rPr>
        <w:t>mesmas</w:t>
      </w:r>
      <w:r w:rsidR="00AD0A9E" w:rsidRPr="00B97D44">
        <w:rPr>
          <w:rFonts w:eastAsia="Arial"/>
        </w:rPr>
        <w:t xml:space="preserve"> para cada tratamento. </w:t>
      </w:r>
      <w:r w:rsidR="00013DC8" w:rsidRPr="00B97D44">
        <w:rPr>
          <w:rFonts w:eastAsia="Arial"/>
        </w:rPr>
        <w:t xml:space="preserve">A eficácia dos tratamentos foi determinada de acordo com o cálculo de reprodução estimada (RE) e a eficácia do produto (EP), proposto por Drummond </w:t>
      </w:r>
      <w:r w:rsidR="00013DC8" w:rsidRPr="00B97D44">
        <w:rPr>
          <w:rFonts w:eastAsia="Arial"/>
          <w:i/>
        </w:rPr>
        <w:t>et al.</w:t>
      </w:r>
      <w:r w:rsidR="00793578" w:rsidRPr="00B97D44">
        <w:rPr>
          <w:rFonts w:eastAsia="Arial"/>
        </w:rPr>
        <w:t xml:space="preserve"> (1973). </w:t>
      </w:r>
      <w:r w:rsidR="00013DC8" w:rsidRPr="00B97D44">
        <w:rPr>
          <w:rFonts w:eastAsia="Arial"/>
        </w:rPr>
        <w:t xml:space="preserve">Os resultados </w:t>
      </w:r>
      <w:r w:rsidR="0007604C" w:rsidRPr="00B97D44">
        <w:rPr>
          <w:rFonts w:eastAsia="Arial"/>
        </w:rPr>
        <w:t>foram</w:t>
      </w:r>
      <w:r w:rsidR="00013DC8" w:rsidRPr="00B97D44">
        <w:rPr>
          <w:rFonts w:eastAsia="Arial"/>
        </w:rPr>
        <w:t xml:space="preserve"> submetidos à análise de variância, considerando o efeito de tratamento, e as médias comparadas pelo teste de </w:t>
      </w:r>
      <w:proofErr w:type="spellStart"/>
      <w:r w:rsidR="00013DC8" w:rsidRPr="00B97D44">
        <w:rPr>
          <w:rFonts w:eastAsia="Arial"/>
          <w:i/>
        </w:rPr>
        <w:t>Tukey</w:t>
      </w:r>
      <w:proofErr w:type="spellEnd"/>
      <w:r w:rsidR="00013DC8" w:rsidRPr="00B97D44">
        <w:rPr>
          <w:rFonts w:eastAsia="Arial"/>
        </w:rPr>
        <w:t xml:space="preserve"> ao nível de 5% de probabilidade,</w:t>
      </w:r>
      <w:r w:rsidR="0007604C" w:rsidRPr="00B97D44">
        <w:rPr>
          <w:rFonts w:eastAsia="Arial"/>
        </w:rPr>
        <w:t xml:space="preserve"> utilizando-se o programa </w:t>
      </w:r>
      <w:r w:rsidR="00C96CD1" w:rsidRPr="00B97D44">
        <w:rPr>
          <w:rFonts w:eastAsia="Arial"/>
        </w:rPr>
        <w:t>“</w:t>
      </w:r>
      <w:proofErr w:type="spellStart"/>
      <w:r w:rsidR="00C96CD1" w:rsidRPr="00B97D44">
        <w:rPr>
          <w:rFonts w:eastAsia="Arial"/>
          <w:i/>
        </w:rPr>
        <w:t>BioEstat</w:t>
      </w:r>
      <w:proofErr w:type="spellEnd"/>
      <w:r w:rsidR="00C96CD1" w:rsidRPr="00B97D44">
        <w:rPr>
          <w:rFonts w:eastAsia="Arial"/>
          <w:i/>
        </w:rPr>
        <w:t xml:space="preserve"> 5.0”</w:t>
      </w:r>
      <w:r w:rsidR="00AE3B76" w:rsidRPr="00B97D44">
        <w:t>.</w:t>
      </w:r>
    </w:p>
    <w:p w14:paraId="113E2DF9" w14:textId="77777777" w:rsidR="00793578" w:rsidRPr="00B97D44" w:rsidRDefault="00793578" w:rsidP="0024301B">
      <w:pPr>
        <w:autoSpaceDE w:val="0"/>
        <w:autoSpaceDN w:val="0"/>
        <w:adjustRightInd w:val="0"/>
        <w:jc w:val="both"/>
        <w:rPr>
          <w:rFonts w:eastAsia="Arial"/>
        </w:rPr>
      </w:pPr>
    </w:p>
    <w:p w14:paraId="197672E4" w14:textId="77777777" w:rsidR="004262A7" w:rsidRPr="00B97D44" w:rsidRDefault="00D93AA5" w:rsidP="0024301B">
      <w:pPr>
        <w:autoSpaceDE w:val="0"/>
        <w:autoSpaceDN w:val="0"/>
        <w:adjustRightInd w:val="0"/>
        <w:jc w:val="both"/>
      </w:pPr>
      <w:r w:rsidRPr="00B97D44">
        <w:rPr>
          <w:b/>
        </w:rPr>
        <w:t xml:space="preserve">Resultados e Discussão </w:t>
      </w:r>
    </w:p>
    <w:p w14:paraId="7022489A" w14:textId="77777777" w:rsidR="004262A7" w:rsidRPr="00B97D44" w:rsidRDefault="004262A7" w:rsidP="00CF26AB">
      <w:pPr>
        <w:jc w:val="both"/>
      </w:pPr>
    </w:p>
    <w:p w14:paraId="6E48297D" w14:textId="77777777" w:rsidR="00C96CD1" w:rsidRPr="00B97D44" w:rsidRDefault="0024301B" w:rsidP="00CF26AB">
      <w:pPr>
        <w:ind w:firstLine="720"/>
        <w:jc w:val="both"/>
      </w:pPr>
      <w:r w:rsidRPr="00B97D44">
        <w:t>Quanto ao índice de m</w:t>
      </w:r>
      <w:r w:rsidR="00C96CD1" w:rsidRPr="00B97D44">
        <w:t xml:space="preserve">ortalidade apenas o grupo Controle Positivo apresentou mortalidade </w:t>
      </w:r>
      <w:r w:rsidRPr="00B97D44">
        <w:t xml:space="preserve">efetiva </w:t>
      </w:r>
      <w:r w:rsidR="00C96CD1" w:rsidRPr="00B97D44">
        <w:t xml:space="preserve">(Figura 1). </w:t>
      </w:r>
      <w:r w:rsidR="009427CA" w:rsidRPr="00B97D44">
        <w:t xml:space="preserve">Diferentemente, Fernandes e Freitas </w:t>
      </w:r>
      <w:r w:rsidR="00061E58" w:rsidRPr="00B97D44">
        <w:t>(2007) verificaram</w:t>
      </w:r>
      <w:r w:rsidRPr="00B97D44">
        <w:t xml:space="preserve"> </w:t>
      </w:r>
      <w:r w:rsidR="00C96CD1" w:rsidRPr="00B97D44">
        <w:t xml:space="preserve">potencial acaricida do óleo-resina de </w:t>
      </w:r>
      <w:proofErr w:type="spellStart"/>
      <w:r w:rsidR="00C96CD1" w:rsidRPr="00B97D44">
        <w:rPr>
          <w:i/>
        </w:rPr>
        <w:t>Copaifera</w:t>
      </w:r>
      <w:proofErr w:type="spellEnd"/>
      <w:r w:rsidR="00C96CD1" w:rsidRPr="00B97D44">
        <w:rPr>
          <w:i/>
        </w:rPr>
        <w:t xml:space="preserve"> </w:t>
      </w:r>
      <w:proofErr w:type="spellStart"/>
      <w:r w:rsidR="00C96CD1" w:rsidRPr="00B97D44">
        <w:rPr>
          <w:i/>
        </w:rPr>
        <w:t>reticulata</w:t>
      </w:r>
      <w:proofErr w:type="spellEnd"/>
      <w:r w:rsidR="00061E58" w:rsidRPr="00B97D44">
        <w:rPr>
          <w:i/>
        </w:rPr>
        <w:t xml:space="preserve">, </w:t>
      </w:r>
      <w:r w:rsidR="00061E58" w:rsidRPr="00B97D44">
        <w:t>porém</w:t>
      </w:r>
      <w:r w:rsidR="00061E58" w:rsidRPr="00B97D44">
        <w:rPr>
          <w:i/>
        </w:rPr>
        <w:t xml:space="preserve"> </w:t>
      </w:r>
      <w:r w:rsidR="00061E58" w:rsidRPr="00B97D44">
        <w:t>esses pesquisadores avaliaram</w:t>
      </w:r>
      <w:r w:rsidR="00C96CD1" w:rsidRPr="00B97D44">
        <w:rPr>
          <w:i/>
        </w:rPr>
        <w:t xml:space="preserve"> </w:t>
      </w:r>
      <w:r w:rsidR="00C96CD1" w:rsidRPr="00B97D44">
        <w:t xml:space="preserve">larvas de </w:t>
      </w:r>
      <w:proofErr w:type="spellStart"/>
      <w:r w:rsidR="00C96CD1" w:rsidRPr="00B97D44">
        <w:rPr>
          <w:i/>
        </w:rPr>
        <w:t>Rhipichephalus</w:t>
      </w:r>
      <w:proofErr w:type="spellEnd"/>
      <w:r w:rsidR="00C96CD1" w:rsidRPr="00B97D44">
        <w:rPr>
          <w:i/>
        </w:rPr>
        <w:t xml:space="preserve"> (</w:t>
      </w:r>
      <w:proofErr w:type="spellStart"/>
      <w:r w:rsidR="00C96CD1" w:rsidRPr="00B97D44">
        <w:rPr>
          <w:i/>
        </w:rPr>
        <w:t>Boophilus</w:t>
      </w:r>
      <w:proofErr w:type="spellEnd"/>
      <w:r w:rsidR="00C96CD1" w:rsidRPr="00B97D44">
        <w:rPr>
          <w:i/>
        </w:rPr>
        <w:t xml:space="preserve">) </w:t>
      </w:r>
      <w:proofErr w:type="spellStart"/>
      <w:r w:rsidR="00C96CD1" w:rsidRPr="00B97D44">
        <w:rPr>
          <w:i/>
        </w:rPr>
        <w:t>microplus</w:t>
      </w:r>
      <w:proofErr w:type="spellEnd"/>
      <w:r w:rsidR="009427CA" w:rsidRPr="00B97D44">
        <w:t xml:space="preserve"> e</w:t>
      </w:r>
      <w:r w:rsidR="00061E58" w:rsidRPr="00B97D44">
        <w:t xml:space="preserve"> não adultos como foi realizado no presente estudo. </w:t>
      </w:r>
    </w:p>
    <w:p w14:paraId="616C8FD4" w14:textId="77777777" w:rsidR="0042198C" w:rsidRPr="00B97D44" w:rsidRDefault="0042198C" w:rsidP="00CF26AB">
      <w:pPr>
        <w:ind w:firstLine="720"/>
        <w:jc w:val="both"/>
      </w:pPr>
    </w:p>
    <w:p w14:paraId="1CD695C1" w14:textId="77777777" w:rsidR="00D122A4" w:rsidRPr="00B97D44" w:rsidRDefault="0042198C" w:rsidP="00C821B7">
      <w:pPr>
        <w:tabs>
          <w:tab w:val="left" w:pos="1843"/>
        </w:tabs>
        <w:jc w:val="center"/>
      </w:pPr>
      <w:r w:rsidRPr="00B97D44">
        <w:rPr>
          <w:noProof/>
          <w:lang w:val="en-US" w:eastAsia="en-US"/>
        </w:rPr>
        <w:lastRenderedPageBreak/>
        <w:drawing>
          <wp:inline distT="0" distB="0" distL="0" distR="0" wp14:anchorId="72DD793A" wp14:editId="358091E5">
            <wp:extent cx="3781425" cy="12477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F3BC981" w14:textId="77777777" w:rsidR="00C821B7" w:rsidRPr="00B97D44" w:rsidRDefault="00C821B7" w:rsidP="00C821B7">
      <w:pPr>
        <w:ind w:right="2408"/>
        <w:jc w:val="both"/>
        <w:rPr>
          <w:sz w:val="20"/>
          <w:szCs w:val="20"/>
        </w:rPr>
      </w:pPr>
    </w:p>
    <w:p w14:paraId="63AE4323" w14:textId="77777777" w:rsidR="00FB495C" w:rsidRPr="00B97D44" w:rsidRDefault="00CF26AB" w:rsidP="00C821B7">
      <w:pPr>
        <w:ind w:left="1701" w:right="1700"/>
        <w:jc w:val="both"/>
        <w:rPr>
          <w:sz w:val="20"/>
          <w:szCs w:val="20"/>
        </w:rPr>
      </w:pPr>
      <w:r w:rsidRPr="00B97D44">
        <w:rPr>
          <w:sz w:val="20"/>
          <w:szCs w:val="20"/>
        </w:rPr>
        <w:t xml:space="preserve">Figura 1. Mortalidade das </w:t>
      </w:r>
      <w:proofErr w:type="spellStart"/>
      <w:r w:rsidRPr="00B97D44">
        <w:rPr>
          <w:sz w:val="20"/>
          <w:szCs w:val="20"/>
        </w:rPr>
        <w:t>teleóginas</w:t>
      </w:r>
      <w:proofErr w:type="spellEnd"/>
      <w:r w:rsidRPr="00B97D44">
        <w:rPr>
          <w:sz w:val="20"/>
          <w:szCs w:val="20"/>
        </w:rPr>
        <w:t>, em percentagem, durante 15 dias após aplicação dos tratamentos: Controle positivo (T1), Controle testemunha (T2), Controle negativo (T3), Tratamento copaíba 10% (T4), Tratamento copaíba 40% (T5) e Tratamento copaíba 80% (T6).</w:t>
      </w:r>
      <w:r w:rsidR="007E7143" w:rsidRPr="00B97D44">
        <w:rPr>
          <w:sz w:val="20"/>
          <w:szCs w:val="20"/>
        </w:rPr>
        <w:t xml:space="preserve"> </w:t>
      </w:r>
    </w:p>
    <w:p w14:paraId="2F52777F" w14:textId="77777777" w:rsidR="00AE3B76" w:rsidRPr="00B97D44" w:rsidRDefault="00AE3B76" w:rsidP="00CF26AB">
      <w:pPr>
        <w:jc w:val="both"/>
        <w:rPr>
          <w:sz w:val="20"/>
          <w:szCs w:val="20"/>
        </w:rPr>
      </w:pPr>
    </w:p>
    <w:p w14:paraId="09BF1E8E" w14:textId="77777777" w:rsidR="00427BCD" w:rsidRPr="00B97D44" w:rsidRDefault="00061E58" w:rsidP="00427BCD">
      <w:pPr>
        <w:ind w:firstLine="720"/>
        <w:jc w:val="both"/>
      </w:pPr>
      <w:r w:rsidRPr="00B97D44">
        <w:t xml:space="preserve">Da mesma forma, em relação à </w:t>
      </w:r>
      <w:proofErr w:type="spellStart"/>
      <w:r w:rsidR="00C96CD1" w:rsidRPr="00B97D44">
        <w:t>ovipostura</w:t>
      </w:r>
      <w:proofErr w:type="spellEnd"/>
      <w:r w:rsidRPr="00B97D44">
        <w:t>,</w:t>
      </w:r>
      <w:r w:rsidR="00C96CD1" w:rsidRPr="00B97D44">
        <w:t xml:space="preserve"> apenas</w:t>
      </w:r>
      <w:r w:rsidRPr="00B97D44">
        <w:t xml:space="preserve"> no grupo controle positivo</w:t>
      </w:r>
      <w:r w:rsidR="00C96CD1" w:rsidRPr="00B97D44">
        <w:t xml:space="preserve"> apresentou</w:t>
      </w:r>
      <w:r w:rsidR="0042198C" w:rsidRPr="00B97D44">
        <w:t xml:space="preserve"> </w:t>
      </w:r>
      <w:r w:rsidRPr="00B97D44">
        <w:t xml:space="preserve">efetividade </w:t>
      </w:r>
      <w:r w:rsidR="00B26AC0" w:rsidRPr="00B97D44">
        <w:t>(Figura 2).</w:t>
      </w:r>
      <w:r w:rsidR="00427BCD" w:rsidRPr="00B97D44">
        <w:t xml:space="preserve"> </w:t>
      </w:r>
      <w:proofErr w:type="spellStart"/>
      <w:r w:rsidRPr="00B97D44">
        <w:t>Volpato</w:t>
      </w:r>
      <w:proofErr w:type="spellEnd"/>
      <w:r w:rsidRPr="00B97D44">
        <w:t xml:space="preserve"> </w:t>
      </w:r>
      <w:r w:rsidR="00C96CD1" w:rsidRPr="00B97D44">
        <w:rPr>
          <w:i/>
        </w:rPr>
        <w:t>et al.</w:t>
      </w:r>
      <w:r w:rsidR="00C96CD1" w:rsidRPr="00B97D44">
        <w:t xml:space="preserve"> (2015) </w:t>
      </w:r>
      <w:r w:rsidRPr="00B97D44">
        <w:t>registrou</w:t>
      </w:r>
      <w:r w:rsidR="00C96CD1" w:rsidRPr="00B97D44">
        <w:t xml:space="preserve"> </w:t>
      </w:r>
      <w:r w:rsidRPr="00B97D44">
        <w:t xml:space="preserve">resultados semelhantes aos do presente estudo, não verificando efetividade de tratamento. Esses </w:t>
      </w:r>
      <w:r w:rsidR="003E6CFA" w:rsidRPr="00B97D44">
        <w:t>pesquisadores avaliaram</w:t>
      </w:r>
      <w:r w:rsidR="00C96CD1" w:rsidRPr="00B97D44">
        <w:t xml:space="preserve"> </w:t>
      </w:r>
      <w:proofErr w:type="spellStart"/>
      <w:r w:rsidR="00B26AC0" w:rsidRPr="00B97D44">
        <w:rPr>
          <w:i/>
        </w:rPr>
        <w:t>Copaifera</w:t>
      </w:r>
      <w:proofErr w:type="spellEnd"/>
      <w:r w:rsidR="00C96CD1" w:rsidRPr="00B97D44">
        <w:rPr>
          <w:i/>
        </w:rPr>
        <w:t xml:space="preserve"> </w:t>
      </w:r>
      <w:proofErr w:type="spellStart"/>
      <w:r w:rsidR="00C96CD1" w:rsidRPr="00B97D44">
        <w:rPr>
          <w:i/>
        </w:rPr>
        <w:t>officinales</w:t>
      </w:r>
      <w:proofErr w:type="spellEnd"/>
      <w:r w:rsidR="00C96CD1" w:rsidRPr="00B97D44">
        <w:t xml:space="preserve">, nas concentrações de 5% e 10%, </w:t>
      </w:r>
      <w:r w:rsidR="003E6CFA" w:rsidRPr="00B97D44">
        <w:t>e observa</w:t>
      </w:r>
      <w:r w:rsidR="00C96CD1" w:rsidRPr="00B97D44">
        <w:t xml:space="preserve">ram 80% e 40% de </w:t>
      </w:r>
      <w:proofErr w:type="spellStart"/>
      <w:r w:rsidR="00C96CD1" w:rsidRPr="00B97D44">
        <w:t>oviposição</w:t>
      </w:r>
      <w:proofErr w:type="spellEnd"/>
      <w:r w:rsidR="00C96CD1" w:rsidRPr="00B97D44">
        <w:t xml:space="preserve">, respectivamente. </w:t>
      </w:r>
      <w:r w:rsidR="00427BCD" w:rsidRPr="00B97D44">
        <w:t>Quanto à eficácia do produto verif</w:t>
      </w:r>
      <w:r w:rsidR="00AE3B76" w:rsidRPr="00B97D44">
        <w:t>icaram valores de 71,6% e 86,7%.</w:t>
      </w:r>
    </w:p>
    <w:p w14:paraId="0403D1C8" w14:textId="77777777" w:rsidR="00C96CD1" w:rsidRPr="00B97D44" w:rsidRDefault="00C96CD1" w:rsidP="00CF26AB">
      <w:pPr>
        <w:ind w:firstLine="720"/>
        <w:jc w:val="both"/>
      </w:pPr>
    </w:p>
    <w:p w14:paraId="21938EDE" w14:textId="77777777" w:rsidR="0042198C" w:rsidRPr="00B97D44" w:rsidRDefault="0042198C" w:rsidP="00CF26AB">
      <w:pPr>
        <w:ind w:firstLine="720"/>
        <w:jc w:val="both"/>
      </w:pPr>
    </w:p>
    <w:p w14:paraId="34DCB0BE" w14:textId="77777777" w:rsidR="0042198C" w:rsidRPr="00B97D44" w:rsidRDefault="0042198C" w:rsidP="00CF26AB">
      <w:pPr>
        <w:jc w:val="center"/>
      </w:pPr>
      <w:r w:rsidRPr="00B97D44">
        <w:rPr>
          <w:noProof/>
          <w:lang w:val="en-US" w:eastAsia="en-US"/>
        </w:rPr>
        <w:drawing>
          <wp:inline distT="0" distB="0" distL="0" distR="0" wp14:anchorId="2069C05B" wp14:editId="14052573">
            <wp:extent cx="3819525" cy="1336675"/>
            <wp:effectExtent l="0" t="0" r="9525" b="1587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75378D" w14:textId="77777777" w:rsidR="00404783" w:rsidRPr="00B97D44" w:rsidRDefault="00404783" w:rsidP="00CF26AB">
      <w:pPr>
        <w:jc w:val="both"/>
        <w:rPr>
          <w:b/>
        </w:rPr>
      </w:pPr>
    </w:p>
    <w:p w14:paraId="58E0DD7C" w14:textId="77777777" w:rsidR="003E6CFA" w:rsidRPr="00B97D44" w:rsidRDefault="00CF26AB" w:rsidP="00C821B7">
      <w:pPr>
        <w:ind w:left="1701" w:right="1700"/>
        <w:jc w:val="both"/>
        <w:rPr>
          <w:sz w:val="20"/>
          <w:szCs w:val="20"/>
        </w:rPr>
      </w:pPr>
      <w:r w:rsidRPr="00B97D44">
        <w:rPr>
          <w:sz w:val="20"/>
          <w:szCs w:val="20"/>
        </w:rPr>
        <w:t xml:space="preserve">Figura 2. Número em percentagem de </w:t>
      </w:r>
      <w:proofErr w:type="spellStart"/>
      <w:r w:rsidRPr="00B97D44">
        <w:rPr>
          <w:sz w:val="20"/>
          <w:szCs w:val="20"/>
        </w:rPr>
        <w:t>teleóginas</w:t>
      </w:r>
      <w:proofErr w:type="spellEnd"/>
      <w:r w:rsidRPr="00B97D44">
        <w:rPr>
          <w:sz w:val="20"/>
          <w:szCs w:val="20"/>
        </w:rPr>
        <w:t xml:space="preserve"> que realizaram </w:t>
      </w:r>
      <w:proofErr w:type="spellStart"/>
      <w:r w:rsidRPr="00B97D44">
        <w:rPr>
          <w:sz w:val="20"/>
          <w:szCs w:val="20"/>
        </w:rPr>
        <w:t>ovipostura</w:t>
      </w:r>
      <w:proofErr w:type="spellEnd"/>
      <w:r w:rsidRPr="00B97D44">
        <w:rPr>
          <w:sz w:val="20"/>
          <w:szCs w:val="20"/>
        </w:rPr>
        <w:t xml:space="preserve"> durante 15 dias, após aplicação dos tratamentos: Controle positivo (T1), Controle testemunha (T2), Controle negativo (T3), Tratamento copaíba 10% (T4), Tratamento copaíba 40% (T5) e Tratamento copaíba 80% (T6).</w:t>
      </w:r>
      <w:r w:rsidR="00DA46B4" w:rsidRPr="00B97D44">
        <w:rPr>
          <w:sz w:val="20"/>
          <w:szCs w:val="20"/>
        </w:rPr>
        <w:t xml:space="preserve"> </w:t>
      </w:r>
    </w:p>
    <w:p w14:paraId="459DBFE7" w14:textId="77777777" w:rsidR="00C821B7" w:rsidRPr="00B97D44" w:rsidRDefault="00C821B7" w:rsidP="00C821B7">
      <w:pPr>
        <w:ind w:left="1701" w:right="1700"/>
        <w:jc w:val="both"/>
      </w:pPr>
    </w:p>
    <w:p w14:paraId="4FD7E34C" w14:textId="46BA99DC" w:rsidR="00C96CD1" w:rsidRPr="00B97D44" w:rsidRDefault="001F5317" w:rsidP="00CF26AB">
      <w:pPr>
        <w:ind w:firstLine="720"/>
        <w:jc w:val="both"/>
      </w:pPr>
      <w:r w:rsidRPr="00B97D44">
        <w:t>Dessa forma, para o presente estudo o índice de produção de ovos (IPO), eclosão de larvas e r</w:t>
      </w:r>
      <w:r w:rsidR="00C96CD1" w:rsidRPr="00B97D44">
        <w:t>ep</w:t>
      </w:r>
      <w:r w:rsidRPr="00B97D44">
        <w:t>rodução e</w:t>
      </w:r>
      <w:r w:rsidR="00C96CD1" w:rsidRPr="00B97D44">
        <w:t xml:space="preserve">stimada (RE) não diferiram entre os </w:t>
      </w:r>
      <w:r w:rsidR="00427BCD" w:rsidRPr="00B97D44">
        <w:t>tratamentos</w:t>
      </w:r>
      <w:r w:rsidR="00131A54" w:rsidRPr="00B97D44">
        <w:t xml:space="preserve">, </w:t>
      </w:r>
      <w:r w:rsidR="00C821B7" w:rsidRPr="00B97D44">
        <w:t>exceto pelo tratamento T1, o qual aprese</w:t>
      </w:r>
      <w:r w:rsidR="00131A54" w:rsidRPr="00B97D44">
        <w:t>ntou mortalidade efetiva</w:t>
      </w:r>
      <w:r w:rsidR="00C821B7" w:rsidRPr="00B97D44">
        <w:t xml:space="preserve"> </w:t>
      </w:r>
      <w:r w:rsidR="00B7442E" w:rsidRPr="00B97D44">
        <w:t>e</w:t>
      </w:r>
      <w:r w:rsidR="00131A54" w:rsidRPr="00B97D44">
        <w:t xml:space="preserve"> 100% d</w:t>
      </w:r>
      <w:r w:rsidR="00E87965" w:rsidRPr="00B97D44">
        <w:t xml:space="preserve">e eficiência </w:t>
      </w:r>
      <w:r w:rsidR="00131A54" w:rsidRPr="00B97D44">
        <w:t xml:space="preserve"> (Tabela 1).</w:t>
      </w:r>
    </w:p>
    <w:p w14:paraId="2837C768" w14:textId="77777777" w:rsidR="001F5317" w:rsidRPr="00B97D44" w:rsidRDefault="001F5317" w:rsidP="00CF26AB">
      <w:pPr>
        <w:jc w:val="both"/>
        <w:rPr>
          <w:b/>
        </w:rPr>
      </w:pPr>
    </w:p>
    <w:p w14:paraId="7EE9B0BA" w14:textId="77777777" w:rsidR="00D122A4" w:rsidRPr="00B97D44" w:rsidRDefault="00D122A4" w:rsidP="00CF26AB">
      <w:pPr>
        <w:jc w:val="both"/>
        <w:rPr>
          <w:b/>
        </w:rPr>
      </w:pPr>
      <w:r w:rsidRPr="00B97D44">
        <w:rPr>
          <w:b/>
        </w:rPr>
        <w:t xml:space="preserve">Tabela 1 – </w:t>
      </w:r>
      <w:r w:rsidRPr="00B97D44">
        <w:t xml:space="preserve">Médias do peso das </w:t>
      </w:r>
      <w:proofErr w:type="spellStart"/>
      <w:r w:rsidRPr="00B97D44">
        <w:t>teleóginas</w:t>
      </w:r>
      <w:proofErr w:type="spellEnd"/>
      <w:r w:rsidRPr="00B97D44">
        <w:t xml:space="preserve"> (g) antes da aplicação dos tratamentos, peso total dos ovos (g) após 15 dias de tratamento, índice de produção de ovos (IPO), percentagem de eclosão dos ovos, reprodução estimada (RE), para cada grupo experimental: Controle positivo, Controle testemunha, Controle negativo, Copaíba 10%, Copaíba 40%, Copaíba 80%.</w:t>
      </w:r>
    </w:p>
    <w:p w14:paraId="662DC881" w14:textId="77777777" w:rsidR="00D122A4" w:rsidRPr="00B97D44" w:rsidRDefault="00D122A4" w:rsidP="00CF26AB">
      <w:pPr>
        <w:jc w:val="both"/>
      </w:pPr>
      <w:r w:rsidRPr="00B97D44">
        <w:rPr>
          <w:sz w:val="20"/>
          <w:szCs w:val="20"/>
        </w:rPr>
        <w:t xml:space="preserve"> </w:t>
      </w:r>
    </w:p>
    <w:tbl>
      <w:tblPr>
        <w:tblStyle w:val="a"/>
        <w:tblW w:w="9498" w:type="dxa"/>
        <w:jc w:val="center"/>
        <w:tblInd w:w="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444"/>
        <w:gridCol w:w="992"/>
        <w:gridCol w:w="992"/>
        <w:gridCol w:w="1108"/>
        <w:gridCol w:w="1417"/>
        <w:gridCol w:w="993"/>
      </w:tblGrid>
      <w:tr w:rsidR="00D122A4" w:rsidRPr="00B97D44" w14:paraId="6F8C9EEC" w14:textId="77777777" w:rsidTr="006F5859">
        <w:trPr>
          <w:trHeight w:val="791"/>
          <w:jc w:val="center"/>
        </w:trPr>
        <w:tc>
          <w:tcPr>
            <w:tcW w:w="2552" w:type="dxa"/>
          </w:tcPr>
          <w:p w14:paraId="0571DD4D" w14:textId="77777777" w:rsidR="00D122A4" w:rsidRPr="00B97D44" w:rsidRDefault="00D122A4" w:rsidP="00CF26AB">
            <w:pPr>
              <w:jc w:val="both"/>
              <w:rPr>
                <w:b/>
              </w:rPr>
            </w:pPr>
            <w:r w:rsidRPr="00B97D44">
              <w:rPr>
                <w:b/>
              </w:rPr>
              <w:t>Tratamentos</w:t>
            </w:r>
          </w:p>
        </w:tc>
        <w:tc>
          <w:tcPr>
            <w:tcW w:w="1444" w:type="dxa"/>
          </w:tcPr>
          <w:p w14:paraId="7C437DAE" w14:textId="77777777" w:rsidR="00D122A4" w:rsidRPr="00B97D44" w:rsidRDefault="00D122A4" w:rsidP="00CF26AB">
            <w:pPr>
              <w:jc w:val="both"/>
              <w:rPr>
                <w:b/>
              </w:rPr>
            </w:pPr>
            <w:r w:rsidRPr="00B97D44">
              <w:rPr>
                <w:b/>
              </w:rPr>
              <w:t xml:space="preserve">Peso </w:t>
            </w:r>
            <w:proofErr w:type="spellStart"/>
            <w:r w:rsidRPr="00B97D44">
              <w:rPr>
                <w:b/>
              </w:rPr>
              <w:t>Teleóginas</w:t>
            </w:r>
            <w:proofErr w:type="spellEnd"/>
            <w:r w:rsidRPr="00B97D44">
              <w:rPr>
                <w:b/>
              </w:rPr>
              <w:t xml:space="preserve"> (g)</w:t>
            </w:r>
          </w:p>
        </w:tc>
        <w:tc>
          <w:tcPr>
            <w:tcW w:w="992" w:type="dxa"/>
          </w:tcPr>
          <w:p w14:paraId="44396A95" w14:textId="77777777" w:rsidR="00D122A4" w:rsidRPr="00B97D44" w:rsidRDefault="00D122A4" w:rsidP="00CF26AB">
            <w:pPr>
              <w:jc w:val="both"/>
              <w:rPr>
                <w:b/>
              </w:rPr>
            </w:pPr>
            <w:r w:rsidRPr="00B97D44">
              <w:rPr>
                <w:b/>
              </w:rPr>
              <w:t>Peso Ovos (g)</w:t>
            </w:r>
          </w:p>
        </w:tc>
        <w:tc>
          <w:tcPr>
            <w:tcW w:w="992" w:type="dxa"/>
          </w:tcPr>
          <w:p w14:paraId="69BA9F08" w14:textId="77777777" w:rsidR="00D122A4" w:rsidRPr="00B97D44" w:rsidRDefault="00D122A4" w:rsidP="00CF26AB">
            <w:pPr>
              <w:jc w:val="both"/>
              <w:rPr>
                <w:b/>
              </w:rPr>
            </w:pPr>
            <w:r w:rsidRPr="00B97D44">
              <w:rPr>
                <w:b/>
              </w:rPr>
              <w:t>IPO</w:t>
            </w:r>
          </w:p>
        </w:tc>
        <w:tc>
          <w:tcPr>
            <w:tcW w:w="1108" w:type="dxa"/>
          </w:tcPr>
          <w:p w14:paraId="3773EBFE" w14:textId="77777777" w:rsidR="00D122A4" w:rsidRPr="00B97D44" w:rsidRDefault="00D122A4" w:rsidP="00CF26AB">
            <w:pPr>
              <w:jc w:val="both"/>
              <w:rPr>
                <w:b/>
              </w:rPr>
            </w:pPr>
            <w:r w:rsidRPr="00B97D44">
              <w:rPr>
                <w:b/>
              </w:rPr>
              <w:t>Eclosão larvas (%)</w:t>
            </w:r>
          </w:p>
        </w:tc>
        <w:tc>
          <w:tcPr>
            <w:tcW w:w="1417" w:type="dxa"/>
          </w:tcPr>
          <w:p w14:paraId="7531534D" w14:textId="77777777" w:rsidR="00D122A4" w:rsidRPr="00B97D44" w:rsidRDefault="00D122A4" w:rsidP="00CF26AB">
            <w:pPr>
              <w:jc w:val="both"/>
              <w:rPr>
                <w:b/>
              </w:rPr>
            </w:pPr>
            <w:r w:rsidRPr="00B97D44">
              <w:rPr>
                <w:b/>
              </w:rPr>
              <w:t>RE</w:t>
            </w:r>
          </w:p>
        </w:tc>
        <w:tc>
          <w:tcPr>
            <w:tcW w:w="993" w:type="dxa"/>
          </w:tcPr>
          <w:p w14:paraId="00559D9F" w14:textId="77777777" w:rsidR="00D122A4" w:rsidRPr="00B97D44" w:rsidRDefault="00D122A4" w:rsidP="00CF26AB">
            <w:pPr>
              <w:jc w:val="both"/>
              <w:rPr>
                <w:b/>
              </w:rPr>
            </w:pPr>
            <w:r w:rsidRPr="00B97D44">
              <w:rPr>
                <w:b/>
              </w:rPr>
              <w:t>EP (%)</w:t>
            </w:r>
          </w:p>
        </w:tc>
      </w:tr>
      <w:tr w:rsidR="00D122A4" w:rsidRPr="00B97D44" w14:paraId="2ACB8FA5" w14:textId="77777777" w:rsidTr="006F5859">
        <w:trPr>
          <w:trHeight w:val="258"/>
          <w:jc w:val="center"/>
        </w:trPr>
        <w:tc>
          <w:tcPr>
            <w:tcW w:w="2552" w:type="dxa"/>
          </w:tcPr>
          <w:p w14:paraId="00B9AC7D" w14:textId="77777777" w:rsidR="00D122A4" w:rsidRPr="00B97D44" w:rsidRDefault="00D122A4" w:rsidP="00CF26AB">
            <w:pPr>
              <w:jc w:val="both"/>
              <w:rPr>
                <w:b/>
              </w:rPr>
            </w:pPr>
            <w:r w:rsidRPr="00B97D44">
              <w:rPr>
                <w:b/>
              </w:rPr>
              <w:t>C. Positivo (T1)</w:t>
            </w:r>
          </w:p>
        </w:tc>
        <w:tc>
          <w:tcPr>
            <w:tcW w:w="1444" w:type="dxa"/>
          </w:tcPr>
          <w:p w14:paraId="6E1AF6B9" w14:textId="77777777" w:rsidR="00D122A4" w:rsidRPr="00B97D44" w:rsidRDefault="00D122A4" w:rsidP="00CF26AB">
            <w:pPr>
              <w:jc w:val="both"/>
            </w:pPr>
            <w:r w:rsidRPr="00B97D44">
              <w:t>0.5965</w:t>
            </w:r>
            <w:r w:rsidRPr="00B97D44">
              <w:rPr>
                <w:vertAlign w:val="superscript"/>
              </w:rPr>
              <w:t>a</w:t>
            </w:r>
          </w:p>
        </w:tc>
        <w:tc>
          <w:tcPr>
            <w:tcW w:w="992" w:type="dxa"/>
          </w:tcPr>
          <w:p w14:paraId="1B7803B5" w14:textId="77777777" w:rsidR="00D122A4" w:rsidRPr="00B97D44" w:rsidRDefault="00D122A4" w:rsidP="00CF26AB">
            <w:pPr>
              <w:jc w:val="both"/>
            </w:pPr>
            <w:r w:rsidRPr="00B97D44">
              <w:t>0</w:t>
            </w:r>
            <w:r w:rsidRPr="00B97D44">
              <w:rPr>
                <w:vertAlign w:val="superscript"/>
              </w:rPr>
              <w:t>a</w:t>
            </w:r>
          </w:p>
        </w:tc>
        <w:tc>
          <w:tcPr>
            <w:tcW w:w="992" w:type="dxa"/>
          </w:tcPr>
          <w:p w14:paraId="6632F65E" w14:textId="77777777" w:rsidR="00D122A4" w:rsidRPr="00B97D44" w:rsidRDefault="00D122A4" w:rsidP="00CF26AB">
            <w:pPr>
              <w:jc w:val="both"/>
            </w:pPr>
            <w:r w:rsidRPr="00B97D44">
              <w:t>0</w:t>
            </w:r>
            <w:r w:rsidRPr="00B97D44">
              <w:rPr>
                <w:vertAlign w:val="superscript"/>
              </w:rPr>
              <w:t>a</w:t>
            </w:r>
          </w:p>
        </w:tc>
        <w:tc>
          <w:tcPr>
            <w:tcW w:w="1108" w:type="dxa"/>
          </w:tcPr>
          <w:p w14:paraId="4C225627" w14:textId="77777777" w:rsidR="00D122A4" w:rsidRPr="00B97D44" w:rsidRDefault="00D122A4" w:rsidP="00CF26AB">
            <w:pPr>
              <w:jc w:val="both"/>
            </w:pPr>
            <w:r w:rsidRPr="00B97D44">
              <w:t>0</w:t>
            </w:r>
            <w:r w:rsidRPr="00B97D44">
              <w:rPr>
                <w:vertAlign w:val="superscript"/>
              </w:rPr>
              <w:t>a</w:t>
            </w:r>
          </w:p>
        </w:tc>
        <w:tc>
          <w:tcPr>
            <w:tcW w:w="1417" w:type="dxa"/>
          </w:tcPr>
          <w:p w14:paraId="5C50067C" w14:textId="77777777" w:rsidR="00D122A4" w:rsidRPr="00B97D44" w:rsidRDefault="00D122A4" w:rsidP="00CF26AB">
            <w:pPr>
              <w:jc w:val="both"/>
            </w:pPr>
            <w:r w:rsidRPr="00B97D44">
              <w:t>0</w:t>
            </w:r>
            <w:r w:rsidRPr="00B97D44">
              <w:rPr>
                <w:vertAlign w:val="superscript"/>
              </w:rPr>
              <w:t>a</w:t>
            </w:r>
          </w:p>
        </w:tc>
        <w:tc>
          <w:tcPr>
            <w:tcW w:w="993" w:type="dxa"/>
          </w:tcPr>
          <w:p w14:paraId="0515A79B" w14:textId="77777777" w:rsidR="00D122A4" w:rsidRPr="00B97D44" w:rsidRDefault="00D122A4" w:rsidP="00CF26AB">
            <w:pPr>
              <w:jc w:val="both"/>
            </w:pPr>
            <w:r w:rsidRPr="00B97D44">
              <w:t>100</w:t>
            </w:r>
            <w:r w:rsidRPr="00B97D44">
              <w:rPr>
                <w:vertAlign w:val="superscript"/>
              </w:rPr>
              <w:t>a</w:t>
            </w:r>
          </w:p>
        </w:tc>
      </w:tr>
      <w:tr w:rsidR="00D122A4" w:rsidRPr="00B97D44" w14:paraId="380BEBEF" w14:textId="77777777" w:rsidTr="006F5859">
        <w:trPr>
          <w:trHeight w:val="258"/>
          <w:jc w:val="center"/>
        </w:trPr>
        <w:tc>
          <w:tcPr>
            <w:tcW w:w="2552" w:type="dxa"/>
          </w:tcPr>
          <w:p w14:paraId="5E527878" w14:textId="77777777" w:rsidR="00D122A4" w:rsidRPr="00B97D44" w:rsidRDefault="00D122A4" w:rsidP="00CF26AB">
            <w:pPr>
              <w:jc w:val="both"/>
              <w:rPr>
                <w:b/>
              </w:rPr>
            </w:pPr>
            <w:r w:rsidRPr="00B97D44">
              <w:rPr>
                <w:b/>
              </w:rPr>
              <w:t>C. Testemunha (T2)</w:t>
            </w:r>
          </w:p>
        </w:tc>
        <w:tc>
          <w:tcPr>
            <w:tcW w:w="1444" w:type="dxa"/>
          </w:tcPr>
          <w:p w14:paraId="1CE47108" w14:textId="77777777" w:rsidR="00D122A4" w:rsidRPr="00B97D44" w:rsidRDefault="00D122A4" w:rsidP="00CF26AB">
            <w:pPr>
              <w:jc w:val="both"/>
            </w:pPr>
            <w:r w:rsidRPr="00B97D44">
              <w:t>0.6305</w:t>
            </w:r>
            <w:r w:rsidRPr="00B97D44">
              <w:rPr>
                <w:vertAlign w:val="superscript"/>
              </w:rPr>
              <w:t>a</w:t>
            </w:r>
          </w:p>
        </w:tc>
        <w:tc>
          <w:tcPr>
            <w:tcW w:w="992" w:type="dxa"/>
          </w:tcPr>
          <w:p w14:paraId="02D106CB" w14:textId="77777777" w:rsidR="00D122A4" w:rsidRPr="00B97D44" w:rsidRDefault="00D122A4" w:rsidP="00CF26AB">
            <w:pPr>
              <w:jc w:val="both"/>
            </w:pPr>
            <w:r w:rsidRPr="00B97D44">
              <w:t>0.1687</w:t>
            </w:r>
            <w:r w:rsidRPr="00B97D44">
              <w:rPr>
                <w:vertAlign w:val="superscript"/>
              </w:rPr>
              <w:t>b</w:t>
            </w:r>
          </w:p>
        </w:tc>
        <w:tc>
          <w:tcPr>
            <w:tcW w:w="992" w:type="dxa"/>
          </w:tcPr>
          <w:p w14:paraId="27FE46C8" w14:textId="77777777" w:rsidR="00D122A4" w:rsidRPr="00B97D44" w:rsidRDefault="00D122A4" w:rsidP="00CF26AB">
            <w:pPr>
              <w:jc w:val="both"/>
            </w:pPr>
            <w:r w:rsidRPr="00B97D44">
              <w:t>26.67</w:t>
            </w:r>
            <w:r w:rsidRPr="00B97D44">
              <w:rPr>
                <w:vertAlign w:val="superscript"/>
              </w:rPr>
              <w:t>b</w:t>
            </w:r>
          </w:p>
        </w:tc>
        <w:tc>
          <w:tcPr>
            <w:tcW w:w="1108" w:type="dxa"/>
          </w:tcPr>
          <w:p w14:paraId="60EE2080" w14:textId="77777777" w:rsidR="00D122A4" w:rsidRPr="00B97D44" w:rsidRDefault="00D122A4" w:rsidP="00CF26AB">
            <w:pPr>
              <w:jc w:val="both"/>
            </w:pPr>
            <w:r w:rsidRPr="00B97D44">
              <w:t>91.43</w:t>
            </w:r>
            <w:r w:rsidRPr="00B97D44">
              <w:rPr>
                <w:vertAlign w:val="superscript"/>
              </w:rPr>
              <w:t>b</w:t>
            </w:r>
          </w:p>
        </w:tc>
        <w:tc>
          <w:tcPr>
            <w:tcW w:w="1417" w:type="dxa"/>
          </w:tcPr>
          <w:p w14:paraId="2A61C809" w14:textId="77777777" w:rsidR="00D122A4" w:rsidRPr="00B97D44" w:rsidRDefault="00D122A4" w:rsidP="00CF26AB">
            <w:pPr>
              <w:jc w:val="both"/>
            </w:pPr>
            <w:r w:rsidRPr="00B97D44">
              <w:t>493371.52</w:t>
            </w:r>
            <w:r w:rsidRPr="00B97D44">
              <w:rPr>
                <w:vertAlign w:val="superscript"/>
              </w:rPr>
              <w:t>b</w:t>
            </w:r>
          </w:p>
        </w:tc>
        <w:tc>
          <w:tcPr>
            <w:tcW w:w="993" w:type="dxa"/>
          </w:tcPr>
          <w:p w14:paraId="0443CC94" w14:textId="77777777" w:rsidR="00D122A4" w:rsidRPr="00B97D44" w:rsidRDefault="00D122A4" w:rsidP="00CF26AB">
            <w:pPr>
              <w:jc w:val="both"/>
            </w:pPr>
            <w:r w:rsidRPr="00B97D44">
              <w:t>0</w:t>
            </w:r>
            <w:r w:rsidRPr="00B97D44">
              <w:rPr>
                <w:vertAlign w:val="superscript"/>
              </w:rPr>
              <w:t>b</w:t>
            </w:r>
          </w:p>
        </w:tc>
      </w:tr>
      <w:tr w:rsidR="00D122A4" w:rsidRPr="00B97D44" w14:paraId="5BFBFD1E" w14:textId="77777777" w:rsidTr="006F5859">
        <w:trPr>
          <w:trHeight w:val="258"/>
          <w:jc w:val="center"/>
        </w:trPr>
        <w:tc>
          <w:tcPr>
            <w:tcW w:w="2552" w:type="dxa"/>
          </w:tcPr>
          <w:p w14:paraId="3C670312" w14:textId="77777777" w:rsidR="00D122A4" w:rsidRPr="00B97D44" w:rsidRDefault="00D122A4" w:rsidP="00CF26AB">
            <w:pPr>
              <w:jc w:val="both"/>
              <w:rPr>
                <w:b/>
              </w:rPr>
            </w:pPr>
            <w:r w:rsidRPr="00B97D44">
              <w:rPr>
                <w:b/>
              </w:rPr>
              <w:t>C. Negativo (T3)</w:t>
            </w:r>
          </w:p>
        </w:tc>
        <w:tc>
          <w:tcPr>
            <w:tcW w:w="1444" w:type="dxa"/>
          </w:tcPr>
          <w:p w14:paraId="56ED9BCF" w14:textId="77777777" w:rsidR="00D122A4" w:rsidRPr="00B97D44" w:rsidRDefault="00D122A4" w:rsidP="00CF26AB">
            <w:pPr>
              <w:jc w:val="both"/>
            </w:pPr>
            <w:r w:rsidRPr="00B97D44">
              <w:t>0.6624</w:t>
            </w:r>
            <w:r w:rsidRPr="00B97D44">
              <w:rPr>
                <w:vertAlign w:val="superscript"/>
              </w:rPr>
              <w:t>a</w:t>
            </w:r>
          </w:p>
        </w:tc>
        <w:tc>
          <w:tcPr>
            <w:tcW w:w="992" w:type="dxa"/>
          </w:tcPr>
          <w:p w14:paraId="747F3EF8" w14:textId="77777777" w:rsidR="00D122A4" w:rsidRPr="00B97D44" w:rsidRDefault="00D122A4" w:rsidP="00CF26AB">
            <w:pPr>
              <w:jc w:val="both"/>
            </w:pPr>
            <w:r w:rsidRPr="00B97D44">
              <w:t>0.1573</w:t>
            </w:r>
            <w:r w:rsidRPr="00B97D44">
              <w:rPr>
                <w:vertAlign w:val="superscript"/>
              </w:rPr>
              <w:t>b</w:t>
            </w:r>
          </w:p>
        </w:tc>
        <w:tc>
          <w:tcPr>
            <w:tcW w:w="992" w:type="dxa"/>
          </w:tcPr>
          <w:p w14:paraId="509FAA14" w14:textId="77777777" w:rsidR="00D122A4" w:rsidRPr="00B97D44" w:rsidRDefault="00D122A4" w:rsidP="00CF26AB">
            <w:pPr>
              <w:jc w:val="both"/>
            </w:pPr>
            <w:r w:rsidRPr="00B97D44">
              <w:t>23.56</w:t>
            </w:r>
            <w:r w:rsidRPr="00B97D44">
              <w:rPr>
                <w:vertAlign w:val="superscript"/>
              </w:rPr>
              <w:t>b</w:t>
            </w:r>
          </w:p>
        </w:tc>
        <w:tc>
          <w:tcPr>
            <w:tcW w:w="1108" w:type="dxa"/>
          </w:tcPr>
          <w:p w14:paraId="184C9005" w14:textId="77777777" w:rsidR="00D122A4" w:rsidRPr="00B97D44" w:rsidRDefault="00D122A4" w:rsidP="00CF26AB">
            <w:pPr>
              <w:jc w:val="both"/>
            </w:pPr>
            <w:r w:rsidRPr="00B97D44">
              <w:t>56.31</w:t>
            </w:r>
            <w:r w:rsidRPr="00B97D44">
              <w:rPr>
                <w:vertAlign w:val="superscript"/>
              </w:rPr>
              <w:t>b</w:t>
            </w:r>
          </w:p>
        </w:tc>
        <w:tc>
          <w:tcPr>
            <w:tcW w:w="1417" w:type="dxa"/>
          </w:tcPr>
          <w:p w14:paraId="4C3DBF9F" w14:textId="77777777" w:rsidR="00D122A4" w:rsidRPr="00B97D44" w:rsidRDefault="00D122A4" w:rsidP="00CF26AB">
            <w:pPr>
              <w:jc w:val="both"/>
            </w:pPr>
            <w:r w:rsidRPr="00B97D44">
              <w:t>264557.49</w:t>
            </w:r>
            <w:r w:rsidRPr="00B97D44">
              <w:rPr>
                <w:vertAlign w:val="superscript"/>
              </w:rPr>
              <w:t>b</w:t>
            </w:r>
          </w:p>
        </w:tc>
        <w:tc>
          <w:tcPr>
            <w:tcW w:w="993" w:type="dxa"/>
          </w:tcPr>
          <w:p w14:paraId="77ED0C40" w14:textId="77777777" w:rsidR="00D122A4" w:rsidRPr="00B97D44" w:rsidRDefault="00D122A4" w:rsidP="00CF26AB">
            <w:pPr>
              <w:jc w:val="both"/>
            </w:pPr>
            <w:r w:rsidRPr="00B97D44">
              <w:t>46.37</w:t>
            </w:r>
            <w:r w:rsidRPr="00B97D44">
              <w:rPr>
                <w:vertAlign w:val="superscript"/>
              </w:rPr>
              <w:t>c</w:t>
            </w:r>
          </w:p>
        </w:tc>
      </w:tr>
      <w:tr w:rsidR="00D122A4" w:rsidRPr="00B97D44" w14:paraId="521F7C00" w14:textId="77777777" w:rsidTr="006F5859">
        <w:trPr>
          <w:trHeight w:val="258"/>
          <w:jc w:val="center"/>
        </w:trPr>
        <w:tc>
          <w:tcPr>
            <w:tcW w:w="2552" w:type="dxa"/>
          </w:tcPr>
          <w:p w14:paraId="6D2A4A21" w14:textId="77777777" w:rsidR="00D122A4" w:rsidRPr="00B97D44" w:rsidRDefault="00D122A4" w:rsidP="00CF26AB">
            <w:pPr>
              <w:jc w:val="both"/>
              <w:rPr>
                <w:b/>
              </w:rPr>
            </w:pPr>
            <w:r w:rsidRPr="00B97D44">
              <w:rPr>
                <w:b/>
              </w:rPr>
              <w:t>T. Copaíba 10% (T4)</w:t>
            </w:r>
          </w:p>
        </w:tc>
        <w:tc>
          <w:tcPr>
            <w:tcW w:w="1444" w:type="dxa"/>
          </w:tcPr>
          <w:p w14:paraId="0A6AB2DA" w14:textId="77777777" w:rsidR="00D122A4" w:rsidRPr="00B97D44" w:rsidRDefault="00D122A4" w:rsidP="00CF26AB">
            <w:pPr>
              <w:jc w:val="both"/>
            </w:pPr>
            <w:r w:rsidRPr="00B97D44">
              <w:t>0.6468</w:t>
            </w:r>
            <w:r w:rsidRPr="00B97D44">
              <w:rPr>
                <w:vertAlign w:val="superscript"/>
              </w:rPr>
              <w:t>a</w:t>
            </w:r>
          </w:p>
        </w:tc>
        <w:tc>
          <w:tcPr>
            <w:tcW w:w="992" w:type="dxa"/>
          </w:tcPr>
          <w:p w14:paraId="3A5C072C" w14:textId="77777777" w:rsidR="00D122A4" w:rsidRPr="00B97D44" w:rsidRDefault="00D122A4" w:rsidP="00CF26AB">
            <w:pPr>
              <w:jc w:val="both"/>
            </w:pPr>
            <w:r w:rsidRPr="00B97D44">
              <w:t>0.1624</w:t>
            </w:r>
            <w:r w:rsidRPr="00B97D44">
              <w:rPr>
                <w:vertAlign w:val="superscript"/>
              </w:rPr>
              <w:t>b</w:t>
            </w:r>
          </w:p>
        </w:tc>
        <w:tc>
          <w:tcPr>
            <w:tcW w:w="992" w:type="dxa"/>
          </w:tcPr>
          <w:p w14:paraId="778C02BD" w14:textId="77777777" w:rsidR="00D122A4" w:rsidRPr="00B97D44" w:rsidRDefault="00D122A4" w:rsidP="00CF26AB">
            <w:pPr>
              <w:jc w:val="both"/>
            </w:pPr>
            <w:r w:rsidRPr="00B97D44">
              <w:t>25.11</w:t>
            </w:r>
            <w:r w:rsidRPr="00B97D44">
              <w:rPr>
                <w:vertAlign w:val="superscript"/>
              </w:rPr>
              <w:t>b</w:t>
            </w:r>
          </w:p>
        </w:tc>
        <w:tc>
          <w:tcPr>
            <w:tcW w:w="1108" w:type="dxa"/>
          </w:tcPr>
          <w:p w14:paraId="5152121B" w14:textId="77777777" w:rsidR="00D122A4" w:rsidRPr="00B97D44" w:rsidRDefault="00D122A4" w:rsidP="00CF26AB">
            <w:pPr>
              <w:jc w:val="both"/>
            </w:pPr>
            <w:r w:rsidRPr="00B97D44">
              <w:t>79.62</w:t>
            </w:r>
            <w:r w:rsidRPr="00B97D44">
              <w:rPr>
                <w:vertAlign w:val="superscript"/>
              </w:rPr>
              <w:t>b</w:t>
            </w:r>
          </w:p>
        </w:tc>
        <w:tc>
          <w:tcPr>
            <w:tcW w:w="1417" w:type="dxa"/>
          </w:tcPr>
          <w:p w14:paraId="548D82FA" w14:textId="77777777" w:rsidR="00D122A4" w:rsidRPr="00B97D44" w:rsidRDefault="00D122A4" w:rsidP="00CF26AB">
            <w:pPr>
              <w:jc w:val="both"/>
            </w:pPr>
            <w:r w:rsidRPr="00B97D44">
              <w:t>403330.54</w:t>
            </w:r>
            <w:r w:rsidRPr="00B97D44">
              <w:rPr>
                <w:vertAlign w:val="superscript"/>
              </w:rPr>
              <w:t>b</w:t>
            </w:r>
          </w:p>
        </w:tc>
        <w:tc>
          <w:tcPr>
            <w:tcW w:w="993" w:type="dxa"/>
          </w:tcPr>
          <w:p w14:paraId="53E6A39C" w14:textId="77777777" w:rsidR="00D122A4" w:rsidRPr="00B97D44" w:rsidRDefault="00D122A4" w:rsidP="00CF26AB">
            <w:pPr>
              <w:jc w:val="both"/>
            </w:pPr>
            <w:r w:rsidRPr="00B97D44">
              <w:t>18.25</w:t>
            </w:r>
            <w:r w:rsidRPr="00B97D44">
              <w:rPr>
                <w:vertAlign w:val="superscript"/>
              </w:rPr>
              <w:t>c</w:t>
            </w:r>
          </w:p>
        </w:tc>
      </w:tr>
      <w:tr w:rsidR="00D122A4" w:rsidRPr="00B97D44" w14:paraId="006157F2" w14:textId="77777777" w:rsidTr="006F5859">
        <w:trPr>
          <w:trHeight w:val="258"/>
          <w:jc w:val="center"/>
        </w:trPr>
        <w:tc>
          <w:tcPr>
            <w:tcW w:w="2552" w:type="dxa"/>
          </w:tcPr>
          <w:p w14:paraId="1CE4EE29" w14:textId="77777777" w:rsidR="00D122A4" w:rsidRPr="00B97D44" w:rsidRDefault="00D122A4" w:rsidP="00CF26AB">
            <w:pPr>
              <w:jc w:val="both"/>
              <w:rPr>
                <w:b/>
              </w:rPr>
            </w:pPr>
            <w:r w:rsidRPr="00B97D44">
              <w:rPr>
                <w:b/>
              </w:rPr>
              <w:t>T. Copaíba 40% (T5)</w:t>
            </w:r>
          </w:p>
        </w:tc>
        <w:tc>
          <w:tcPr>
            <w:tcW w:w="1444" w:type="dxa"/>
          </w:tcPr>
          <w:p w14:paraId="15914C6D" w14:textId="77777777" w:rsidR="00D122A4" w:rsidRPr="00B97D44" w:rsidRDefault="00D122A4" w:rsidP="00CF26AB">
            <w:pPr>
              <w:jc w:val="both"/>
            </w:pPr>
            <w:r w:rsidRPr="00B97D44">
              <w:t>0.6206</w:t>
            </w:r>
            <w:r w:rsidRPr="00B97D44">
              <w:rPr>
                <w:vertAlign w:val="superscript"/>
              </w:rPr>
              <w:t>a</w:t>
            </w:r>
          </w:p>
        </w:tc>
        <w:tc>
          <w:tcPr>
            <w:tcW w:w="992" w:type="dxa"/>
          </w:tcPr>
          <w:p w14:paraId="022DA78D" w14:textId="77777777" w:rsidR="00D122A4" w:rsidRPr="00B97D44" w:rsidRDefault="00D122A4" w:rsidP="00CF26AB">
            <w:pPr>
              <w:jc w:val="both"/>
            </w:pPr>
            <w:r w:rsidRPr="00B97D44">
              <w:t>0.2002</w:t>
            </w:r>
            <w:r w:rsidRPr="00B97D44">
              <w:rPr>
                <w:vertAlign w:val="superscript"/>
              </w:rPr>
              <w:t>b</w:t>
            </w:r>
          </w:p>
        </w:tc>
        <w:tc>
          <w:tcPr>
            <w:tcW w:w="992" w:type="dxa"/>
          </w:tcPr>
          <w:p w14:paraId="2C81774F" w14:textId="77777777" w:rsidR="00D122A4" w:rsidRPr="00B97D44" w:rsidRDefault="00D122A4" w:rsidP="00CF26AB">
            <w:pPr>
              <w:jc w:val="both"/>
            </w:pPr>
            <w:r w:rsidRPr="00B97D44">
              <w:t>32.88</w:t>
            </w:r>
            <w:r w:rsidRPr="00B97D44">
              <w:rPr>
                <w:vertAlign w:val="superscript"/>
              </w:rPr>
              <w:t>b</w:t>
            </w:r>
          </w:p>
        </w:tc>
        <w:tc>
          <w:tcPr>
            <w:tcW w:w="1108" w:type="dxa"/>
          </w:tcPr>
          <w:p w14:paraId="7DCAD62F" w14:textId="77777777" w:rsidR="00D122A4" w:rsidRPr="00B97D44" w:rsidRDefault="00D122A4" w:rsidP="00CF26AB">
            <w:pPr>
              <w:jc w:val="both"/>
            </w:pPr>
            <w:r w:rsidRPr="00B97D44">
              <w:t>80.45</w:t>
            </w:r>
            <w:r w:rsidRPr="00B97D44">
              <w:rPr>
                <w:vertAlign w:val="superscript"/>
              </w:rPr>
              <w:t>b</w:t>
            </w:r>
          </w:p>
        </w:tc>
        <w:tc>
          <w:tcPr>
            <w:tcW w:w="1417" w:type="dxa"/>
          </w:tcPr>
          <w:p w14:paraId="6987BAAA" w14:textId="77777777" w:rsidR="00D122A4" w:rsidRPr="00B97D44" w:rsidRDefault="00D122A4" w:rsidP="00CF26AB">
            <w:pPr>
              <w:jc w:val="both"/>
            </w:pPr>
            <w:r w:rsidRPr="00B97D44">
              <w:t>431008.02</w:t>
            </w:r>
            <w:r w:rsidRPr="00B97D44">
              <w:rPr>
                <w:vertAlign w:val="superscript"/>
              </w:rPr>
              <w:t>b</w:t>
            </w:r>
          </w:p>
        </w:tc>
        <w:tc>
          <w:tcPr>
            <w:tcW w:w="993" w:type="dxa"/>
          </w:tcPr>
          <w:p w14:paraId="1710F3B0" w14:textId="77777777" w:rsidR="00D122A4" w:rsidRPr="00B97D44" w:rsidRDefault="00D122A4" w:rsidP="00CF26AB">
            <w:pPr>
              <w:jc w:val="both"/>
            </w:pPr>
            <w:r w:rsidRPr="00B97D44">
              <w:t>12.64</w:t>
            </w:r>
            <w:r w:rsidRPr="00B97D44">
              <w:rPr>
                <w:vertAlign w:val="superscript"/>
              </w:rPr>
              <w:t>c</w:t>
            </w:r>
          </w:p>
        </w:tc>
      </w:tr>
      <w:tr w:rsidR="00D122A4" w:rsidRPr="00B97D44" w14:paraId="43BEFFF2" w14:textId="77777777" w:rsidTr="006F5859">
        <w:trPr>
          <w:trHeight w:val="273"/>
          <w:jc w:val="center"/>
        </w:trPr>
        <w:tc>
          <w:tcPr>
            <w:tcW w:w="2552" w:type="dxa"/>
          </w:tcPr>
          <w:p w14:paraId="31778A73" w14:textId="77777777" w:rsidR="00D122A4" w:rsidRPr="00B97D44" w:rsidRDefault="00D122A4" w:rsidP="00CF26AB">
            <w:pPr>
              <w:jc w:val="both"/>
              <w:rPr>
                <w:b/>
              </w:rPr>
            </w:pPr>
            <w:r w:rsidRPr="00B97D44">
              <w:rPr>
                <w:b/>
              </w:rPr>
              <w:t>T. Copaíba 80% (T6)</w:t>
            </w:r>
          </w:p>
        </w:tc>
        <w:tc>
          <w:tcPr>
            <w:tcW w:w="1444" w:type="dxa"/>
          </w:tcPr>
          <w:p w14:paraId="520725B6" w14:textId="77777777" w:rsidR="00D122A4" w:rsidRPr="00B97D44" w:rsidRDefault="00D122A4" w:rsidP="00CF26AB">
            <w:pPr>
              <w:jc w:val="both"/>
            </w:pPr>
            <w:r w:rsidRPr="00B97D44">
              <w:t>0.6514</w:t>
            </w:r>
            <w:r w:rsidRPr="00B97D44">
              <w:rPr>
                <w:vertAlign w:val="superscript"/>
              </w:rPr>
              <w:t>a</w:t>
            </w:r>
          </w:p>
        </w:tc>
        <w:tc>
          <w:tcPr>
            <w:tcW w:w="992" w:type="dxa"/>
          </w:tcPr>
          <w:p w14:paraId="773E875D" w14:textId="77777777" w:rsidR="00D122A4" w:rsidRPr="00B97D44" w:rsidRDefault="00D122A4" w:rsidP="00CF26AB">
            <w:pPr>
              <w:jc w:val="both"/>
            </w:pPr>
            <w:r w:rsidRPr="00B97D44">
              <w:t>0.1694</w:t>
            </w:r>
            <w:r w:rsidRPr="00B97D44">
              <w:rPr>
                <w:vertAlign w:val="superscript"/>
              </w:rPr>
              <w:t>b</w:t>
            </w:r>
          </w:p>
        </w:tc>
        <w:tc>
          <w:tcPr>
            <w:tcW w:w="992" w:type="dxa"/>
          </w:tcPr>
          <w:p w14:paraId="34DBE93B" w14:textId="77777777" w:rsidR="00D122A4" w:rsidRPr="00B97D44" w:rsidRDefault="00D122A4" w:rsidP="00CF26AB">
            <w:pPr>
              <w:jc w:val="both"/>
            </w:pPr>
            <w:r w:rsidRPr="00B97D44">
              <w:t>25.96</w:t>
            </w:r>
            <w:r w:rsidRPr="00B97D44">
              <w:rPr>
                <w:vertAlign w:val="superscript"/>
              </w:rPr>
              <w:t>b</w:t>
            </w:r>
          </w:p>
        </w:tc>
        <w:tc>
          <w:tcPr>
            <w:tcW w:w="1108" w:type="dxa"/>
          </w:tcPr>
          <w:p w14:paraId="738F4C61" w14:textId="77777777" w:rsidR="00D122A4" w:rsidRPr="00B97D44" w:rsidRDefault="00D122A4" w:rsidP="00CF26AB">
            <w:pPr>
              <w:jc w:val="both"/>
            </w:pPr>
            <w:r w:rsidRPr="00B97D44">
              <w:t>81.29</w:t>
            </w:r>
            <w:r w:rsidRPr="00B97D44">
              <w:rPr>
                <w:vertAlign w:val="superscript"/>
              </w:rPr>
              <w:t>b</w:t>
            </w:r>
          </w:p>
        </w:tc>
        <w:tc>
          <w:tcPr>
            <w:tcW w:w="1417" w:type="dxa"/>
          </w:tcPr>
          <w:p w14:paraId="5B721E2C" w14:textId="77777777" w:rsidR="00D122A4" w:rsidRPr="00B97D44" w:rsidRDefault="00D122A4" w:rsidP="00CF26AB">
            <w:pPr>
              <w:jc w:val="both"/>
            </w:pPr>
            <w:r w:rsidRPr="00B97D44">
              <w:t>433412.37</w:t>
            </w:r>
            <w:r w:rsidRPr="00B97D44">
              <w:rPr>
                <w:vertAlign w:val="superscript"/>
              </w:rPr>
              <w:t>b</w:t>
            </w:r>
          </w:p>
        </w:tc>
        <w:tc>
          <w:tcPr>
            <w:tcW w:w="993" w:type="dxa"/>
          </w:tcPr>
          <w:p w14:paraId="43FC5E6B" w14:textId="77777777" w:rsidR="00D122A4" w:rsidRPr="00B97D44" w:rsidRDefault="00D122A4" w:rsidP="00CF26AB">
            <w:pPr>
              <w:jc w:val="both"/>
            </w:pPr>
            <w:r w:rsidRPr="00B97D44">
              <w:t>12.15</w:t>
            </w:r>
            <w:r w:rsidRPr="00B97D44">
              <w:rPr>
                <w:vertAlign w:val="superscript"/>
              </w:rPr>
              <w:t>c</w:t>
            </w:r>
          </w:p>
        </w:tc>
      </w:tr>
    </w:tbl>
    <w:p w14:paraId="116DAEEC" w14:textId="77777777" w:rsidR="00D122A4" w:rsidRPr="00B97D44" w:rsidRDefault="00D122A4" w:rsidP="00CF26AB">
      <w:pPr>
        <w:jc w:val="both"/>
        <w:rPr>
          <w:sz w:val="16"/>
          <w:szCs w:val="16"/>
        </w:rPr>
      </w:pPr>
      <w:r w:rsidRPr="00B97D44">
        <w:rPr>
          <w:sz w:val="16"/>
          <w:szCs w:val="16"/>
        </w:rPr>
        <w:t xml:space="preserve">Valores seguidos pela mesma letra nas colunas não diferem estatisticamente entre si pelo teste de </w:t>
      </w:r>
      <w:proofErr w:type="spellStart"/>
      <w:r w:rsidRPr="00B97D44">
        <w:rPr>
          <w:sz w:val="16"/>
          <w:szCs w:val="16"/>
        </w:rPr>
        <w:t>Tukey</w:t>
      </w:r>
      <w:proofErr w:type="spellEnd"/>
      <w:r w:rsidRPr="00B97D44">
        <w:rPr>
          <w:sz w:val="16"/>
          <w:szCs w:val="16"/>
        </w:rPr>
        <w:t xml:space="preserve"> a 5% de probabilidade (p&gt;0,05).</w:t>
      </w:r>
    </w:p>
    <w:p w14:paraId="37DC5C91" w14:textId="77777777" w:rsidR="00D93AA5" w:rsidRPr="00B97D44" w:rsidRDefault="00D93AA5" w:rsidP="00CF26AB">
      <w:pPr>
        <w:jc w:val="both"/>
      </w:pPr>
    </w:p>
    <w:p w14:paraId="1BD7EF6F" w14:textId="5EC0A5BD" w:rsidR="00DA1A7A" w:rsidRPr="00B97D44" w:rsidRDefault="00903B19" w:rsidP="00621097">
      <w:pPr>
        <w:ind w:firstLine="720"/>
        <w:jc w:val="both"/>
      </w:pPr>
      <w:r w:rsidRPr="00B97D44">
        <w:t xml:space="preserve">Provavelmente, o fato de </w:t>
      </w:r>
      <w:r w:rsidR="00C96CD1" w:rsidRPr="00B97D44">
        <w:rPr>
          <w:bCs/>
        </w:rPr>
        <w:t>tratar-se de matéria-prima com variabilidade natural, a efetividade dos produtos industrializado</w:t>
      </w:r>
      <w:r w:rsidR="00D632A4" w:rsidRPr="00B97D44">
        <w:rPr>
          <w:bCs/>
        </w:rPr>
        <w:t>s</w:t>
      </w:r>
      <w:r w:rsidR="00C96CD1" w:rsidRPr="00B97D44">
        <w:rPr>
          <w:bCs/>
        </w:rPr>
        <w:t xml:space="preserve"> pode </w:t>
      </w:r>
      <w:r w:rsidR="00D632A4" w:rsidRPr="00B97D44">
        <w:rPr>
          <w:bCs/>
        </w:rPr>
        <w:t>apresentar</w:t>
      </w:r>
      <w:r w:rsidR="00C96CD1" w:rsidRPr="00B97D44">
        <w:rPr>
          <w:bCs/>
        </w:rPr>
        <w:t xml:space="preserve"> sua autenticidade comprometida </w:t>
      </w:r>
      <w:r w:rsidR="00C96CD1" w:rsidRPr="00B97D44">
        <w:t xml:space="preserve">(BIAVATTI </w:t>
      </w:r>
      <w:r w:rsidR="00C96CD1" w:rsidRPr="00B97D44">
        <w:rPr>
          <w:bCs/>
          <w:i/>
          <w:iCs/>
        </w:rPr>
        <w:t xml:space="preserve">et al., </w:t>
      </w:r>
      <w:r w:rsidR="00E87965" w:rsidRPr="00B97D44">
        <w:rPr>
          <w:bCs/>
          <w:iCs/>
        </w:rPr>
        <w:t>2006)</w:t>
      </w:r>
      <w:r w:rsidR="00D632A4" w:rsidRPr="00B97D44">
        <w:rPr>
          <w:i/>
        </w:rPr>
        <w:t>.</w:t>
      </w:r>
      <w:r w:rsidR="007F72AF" w:rsidRPr="00B97D44">
        <w:t xml:space="preserve"> </w:t>
      </w:r>
      <w:r w:rsidR="00DA1A7A" w:rsidRPr="00B97D44">
        <w:t>C</w:t>
      </w:r>
      <w:r w:rsidR="00621097" w:rsidRPr="00B97D44">
        <w:t>ortez</w:t>
      </w:r>
      <w:r w:rsidR="00E87965" w:rsidRPr="00B97D44">
        <w:t xml:space="preserve"> </w:t>
      </w:r>
      <w:r w:rsidR="00E87965" w:rsidRPr="00B97D44">
        <w:rPr>
          <w:i/>
        </w:rPr>
        <w:t>et al.</w:t>
      </w:r>
      <w:r w:rsidR="00DA1A7A" w:rsidRPr="00B97D44">
        <w:t xml:space="preserve"> </w:t>
      </w:r>
      <w:r w:rsidR="007F72AF" w:rsidRPr="00B97D44">
        <w:t>(2010)</w:t>
      </w:r>
      <w:r w:rsidR="00621097" w:rsidRPr="00B97D44">
        <w:t xml:space="preserve">, </w:t>
      </w:r>
      <w:r w:rsidR="00D632A4" w:rsidRPr="00B97D44">
        <w:t xml:space="preserve">registraram adulteração </w:t>
      </w:r>
      <w:r w:rsidR="007F72AF" w:rsidRPr="00B97D44">
        <w:t>após análise de óleos essenciais de alecrim (</w:t>
      </w:r>
      <w:proofErr w:type="spellStart"/>
      <w:r w:rsidR="007F72AF" w:rsidRPr="00B97D44">
        <w:rPr>
          <w:i/>
        </w:rPr>
        <w:t>Rosmarinum</w:t>
      </w:r>
      <w:proofErr w:type="spellEnd"/>
      <w:r w:rsidR="007F72AF" w:rsidRPr="00B97D44">
        <w:rPr>
          <w:i/>
        </w:rPr>
        <w:t xml:space="preserve"> </w:t>
      </w:r>
      <w:proofErr w:type="spellStart"/>
      <w:r w:rsidR="007F72AF" w:rsidRPr="00B97D44">
        <w:rPr>
          <w:i/>
        </w:rPr>
        <w:t>officinalis</w:t>
      </w:r>
      <w:proofErr w:type="spellEnd"/>
      <w:r w:rsidR="007F72AF" w:rsidRPr="00B97D44">
        <w:t>) e lavanda (</w:t>
      </w:r>
      <w:proofErr w:type="spellStart"/>
      <w:r w:rsidR="007F72AF" w:rsidRPr="00B97D44">
        <w:rPr>
          <w:i/>
        </w:rPr>
        <w:t>Lavandula</w:t>
      </w:r>
      <w:proofErr w:type="spellEnd"/>
      <w:r w:rsidR="007F72AF" w:rsidRPr="00B97D44">
        <w:rPr>
          <w:i/>
        </w:rPr>
        <w:t xml:space="preserve"> </w:t>
      </w:r>
      <w:proofErr w:type="spellStart"/>
      <w:r w:rsidR="007F72AF" w:rsidRPr="00B97D44">
        <w:rPr>
          <w:i/>
        </w:rPr>
        <w:t>augustifolia</w:t>
      </w:r>
      <w:proofErr w:type="spellEnd"/>
      <w:r w:rsidR="007F72AF" w:rsidRPr="00B97D44">
        <w:t>) comercializados</w:t>
      </w:r>
      <w:r w:rsidR="00D632A4" w:rsidRPr="00B97D44">
        <w:t>. Esses pesquisadores verificaram baixo volume de óleo essencial e adição de outras substâncias adulterantes</w:t>
      </w:r>
      <w:r w:rsidR="007F72AF" w:rsidRPr="00B97D44">
        <w:t>,</w:t>
      </w:r>
      <w:r w:rsidR="00D632A4" w:rsidRPr="00B97D44">
        <w:t xml:space="preserve"> em duas das</w:t>
      </w:r>
      <w:r w:rsidR="007F72AF" w:rsidRPr="00B97D44">
        <w:t xml:space="preserve"> doze amostras </w:t>
      </w:r>
      <w:r w:rsidR="00D632A4" w:rsidRPr="00B97D44">
        <w:t>analisadas.</w:t>
      </w:r>
      <w:r w:rsidR="007F72AF" w:rsidRPr="00B97D44">
        <w:t xml:space="preserve"> </w:t>
      </w:r>
      <w:r w:rsidR="00DA1A7A" w:rsidRPr="00B97D44">
        <w:t>P</w:t>
      </w:r>
      <w:r w:rsidR="00621097" w:rsidRPr="00B97D44">
        <w:t>ereira</w:t>
      </w:r>
      <w:r w:rsidR="00D632A4" w:rsidRPr="00B97D44">
        <w:t xml:space="preserve"> (2012) observou</w:t>
      </w:r>
      <w:r w:rsidR="00DA1A7A" w:rsidRPr="00B97D44">
        <w:t xml:space="preserve"> essência de</w:t>
      </w:r>
      <w:r w:rsidR="00621097" w:rsidRPr="00B97D44">
        <w:t xml:space="preserve"> poejo (</w:t>
      </w:r>
      <w:proofErr w:type="spellStart"/>
      <w:r w:rsidR="00DA1A7A" w:rsidRPr="00B97D44">
        <w:rPr>
          <w:i/>
        </w:rPr>
        <w:t>Mentha</w:t>
      </w:r>
      <w:proofErr w:type="spellEnd"/>
      <w:r w:rsidR="00DA1A7A" w:rsidRPr="00B97D44">
        <w:rPr>
          <w:i/>
        </w:rPr>
        <w:t xml:space="preserve"> </w:t>
      </w:r>
      <w:proofErr w:type="spellStart"/>
      <w:r w:rsidR="00DA1A7A" w:rsidRPr="00B97D44">
        <w:rPr>
          <w:i/>
        </w:rPr>
        <w:t>pulegium</w:t>
      </w:r>
      <w:proofErr w:type="spellEnd"/>
      <w:r w:rsidR="00621097" w:rsidRPr="00B97D44">
        <w:rPr>
          <w:i/>
        </w:rPr>
        <w:t>)</w:t>
      </w:r>
      <w:r w:rsidR="00D632A4" w:rsidRPr="00B97D44">
        <w:rPr>
          <w:i/>
        </w:rPr>
        <w:t xml:space="preserve"> </w:t>
      </w:r>
      <w:r w:rsidR="00D632A4" w:rsidRPr="00B97D44">
        <w:t>adulterada com óleos e gorduras</w:t>
      </w:r>
      <w:r w:rsidR="00DA1A7A" w:rsidRPr="00B97D44">
        <w:t xml:space="preserve">. </w:t>
      </w:r>
      <w:r w:rsidR="00D632A4" w:rsidRPr="00B97D44">
        <w:rPr>
          <w:bCs/>
          <w:iCs/>
        </w:rPr>
        <w:t>S</w:t>
      </w:r>
      <w:r w:rsidR="00D632A4" w:rsidRPr="00B97D44">
        <w:t>ubstâncias não identificadas, adulterantes, diluentes, ou simplesmente misturas com outros extratos vegetais, comprometem a qualidade do óleo de copaíba (</w:t>
      </w:r>
      <w:r w:rsidR="00952EB0" w:rsidRPr="00B97D44">
        <w:rPr>
          <w:rFonts w:eastAsia="TimesNewRomanPSMT"/>
          <w:lang w:eastAsia="en-US"/>
        </w:rPr>
        <w:t>VEIGA JUNIOR e PINTO, 2005),</w:t>
      </w:r>
      <w:r w:rsidR="00D632A4" w:rsidRPr="00B97D44">
        <w:rPr>
          <w:rFonts w:eastAsia="TimesNewRomanPSMT"/>
          <w:lang w:eastAsia="en-US"/>
        </w:rPr>
        <w:t xml:space="preserve"> </w:t>
      </w:r>
      <w:r w:rsidR="00D632A4" w:rsidRPr="00B97D44">
        <w:rPr>
          <w:bCs/>
          <w:iCs/>
        </w:rPr>
        <w:t xml:space="preserve">justificando </w:t>
      </w:r>
      <w:r w:rsidR="00952EB0" w:rsidRPr="00B97D44">
        <w:rPr>
          <w:bCs/>
          <w:iCs/>
        </w:rPr>
        <w:t xml:space="preserve">assim </w:t>
      </w:r>
      <w:r w:rsidR="00D632A4" w:rsidRPr="00B97D44">
        <w:rPr>
          <w:bCs/>
          <w:iCs/>
        </w:rPr>
        <w:t xml:space="preserve">maior efetividade na </w:t>
      </w:r>
      <w:r w:rsidR="007A1EBA" w:rsidRPr="00B97D44">
        <w:rPr>
          <w:bCs/>
          <w:iCs/>
        </w:rPr>
        <w:t xml:space="preserve">legislação e </w:t>
      </w:r>
      <w:r w:rsidR="00D632A4" w:rsidRPr="00B97D44">
        <w:rPr>
          <w:bCs/>
          <w:iCs/>
        </w:rPr>
        <w:t>fiscalização dos produtos comercialmente disponíveis</w:t>
      </w:r>
      <w:r w:rsidR="00E87965" w:rsidRPr="00B97D44">
        <w:rPr>
          <w:bCs/>
          <w:iCs/>
        </w:rPr>
        <w:t>. Cabe ressaltar que a omissão das especific</w:t>
      </w:r>
      <w:r w:rsidR="007A305F" w:rsidRPr="00B97D44">
        <w:rPr>
          <w:bCs/>
          <w:iCs/>
        </w:rPr>
        <w:t xml:space="preserve">ações </w:t>
      </w:r>
      <w:r w:rsidR="00E87965" w:rsidRPr="00B97D44">
        <w:rPr>
          <w:bCs/>
          <w:iCs/>
        </w:rPr>
        <w:t>técnicas impossibilitam a</w:t>
      </w:r>
      <w:r w:rsidR="007A1EBA" w:rsidRPr="00B97D44">
        <w:rPr>
          <w:bCs/>
          <w:iCs/>
        </w:rPr>
        <w:t xml:space="preserve"> </w:t>
      </w:r>
      <w:proofErr w:type="spellStart"/>
      <w:r w:rsidR="007A1EBA" w:rsidRPr="00B97D44">
        <w:rPr>
          <w:bCs/>
          <w:iCs/>
        </w:rPr>
        <w:t>repetibilidade</w:t>
      </w:r>
      <w:proofErr w:type="spellEnd"/>
      <w:r w:rsidR="007A1EBA" w:rsidRPr="00B97D44">
        <w:rPr>
          <w:bCs/>
          <w:iCs/>
        </w:rPr>
        <w:t xml:space="preserve"> d</w:t>
      </w:r>
      <w:r w:rsidR="00E87965" w:rsidRPr="00B97D44">
        <w:rPr>
          <w:bCs/>
          <w:iCs/>
        </w:rPr>
        <w:t xml:space="preserve">e procedimentos para </w:t>
      </w:r>
      <w:r w:rsidR="007A1EBA" w:rsidRPr="00B97D44">
        <w:rPr>
          <w:bCs/>
          <w:iCs/>
        </w:rPr>
        <w:t>avaliação quanto à eficiência do produto</w:t>
      </w:r>
      <w:r w:rsidR="00E87965" w:rsidRPr="00B97D44">
        <w:rPr>
          <w:bCs/>
          <w:iCs/>
        </w:rPr>
        <w:t>.</w:t>
      </w:r>
    </w:p>
    <w:p w14:paraId="4609371C" w14:textId="77777777" w:rsidR="00621097" w:rsidRPr="00B97D44" w:rsidRDefault="00621097" w:rsidP="00621097">
      <w:pPr>
        <w:ind w:firstLine="720"/>
        <w:jc w:val="both"/>
      </w:pPr>
    </w:p>
    <w:p w14:paraId="6A941971" w14:textId="77777777" w:rsidR="004262A7" w:rsidRPr="00B97D44" w:rsidRDefault="00D93AA5" w:rsidP="00CF26AB">
      <w:pPr>
        <w:jc w:val="both"/>
      </w:pPr>
      <w:r w:rsidRPr="00B97D44">
        <w:rPr>
          <w:b/>
        </w:rPr>
        <w:t>Conclusões</w:t>
      </w:r>
      <w:r w:rsidRPr="00B97D44">
        <w:t xml:space="preserve"> </w:t>
      </w:r>
    </w:p>
    <w:p w14:paraId="4EA0EFF2" w14:textId="77777777" w:rsidR="004262A7" w:rsidRPr="00B97D44" w:rsidRDefault="004262A7" w:rsidP="00CF26AB">
      <w:pPr>
        <w:jc w:val="both"/>
      </w:pPr>
    </w:p>
    <w:p w14:paraId="0F220656" w14:textId="77777777" w:rsidR="00C96CD1" w:rsidRPr="00B97D44" w:rsidRDefault="00427BCD" w:rsidP="00CF26AB">
      <w:pPr>
        <w:autoSpaceDE w:val="0"/>
        <w:autoSpaceDN w:val="0"/>
        <w:adjustRightInd w:val="0"/>
        <w:ind w:firstLine="720"/>
        <w:jc w:val="both"/>
      </w:pPr>
      <w:r w:rsidRPr="00B97D44">
        <w:t>A partir dos resultados obtidos, foi</w:t>
      </w:r>
      <w:r w:rsidR="00C96CD1" w:rsidRPr="00B97D44">
        <w:t xml:space="preserve"> possível concluir que o óleo de Copaíba</w:t>
      </w:r>
      <w:r w:rsidRPr="00B97D44">
        <w:t xml:space="preserve"> avaliado</w:t>
      </w:r>
      <w:r w:rsidR="00131A54" w:rsidRPr="00B97D44">
        <w:t xml:space="preserve"> </w:t>
      </w:r>
      <w:r w:rsidR="00C96CD1" w:rsidRPr="00B97D44">
        <w:t xml:space="preserve">não apresentou </w:t>
      </w:r>
      <w:r w:rsidRPr="00B97D44">
        <w:t xml:space="preserve">eficácia suficiente exigida pelo </w:t>
      </w:r>
      <w:r w:rsidR="00C96CD1" w:rsidRPr="00B97D44">
        <w:t>Ministér</w:t>
      </w:r>
      <w:r w:rsidRPr="00B97D44">
        <w:t>io da Agricultura</w:t>
      </w:r>
      <w:r w:rsidR="00C96CD1" w:rsidRPr="00B97D44">
        <w:t>.</w:t>
      </w:r>
    </w:p>
    <w:p w14:paraId="2759C88B" w14:textId="77777777" w:rsidR="00C96CD1" w:rsidRPr="00B97D44" w:rsidRDefault="00C96CD1" w:rsidP="00CF26AB">
      <w:pPr>
        <w:ind w:firstLine="720"/>
        <w:jc w:val="both"/>
      </w:pPr>
    </w:p>
    <w:p w14:paraId="3A6F31EC" w14:textId="77777777" w:rsidR="00974326" w:rsidRPr="00B97D44" w:rsidRDefault="00974326" w:rsidP="00974326">
      <w:r w:rsidRPr="00B97D44">
        <w:rPr>
          <w:b/>
        </w:rPr>
        <w:t>Agradecimentos</w:t>
      </w:r>
    </w:p>
    <w:p w14:paraId="56DAF1C4" w14:textId="77777777" w:rsidR="00974326" w:rsidRPr="00B97D44" w:rsidRDefault="00974326" w:rsidP="00974326">
      <w:pPr>
        <w:jc w:val="both"/>
      </w:pPr>
    </w:p>
    <w:p w14:paraId="2879CD89" w14:textId="77777777" w:rsidR="004262A7" w:rsidRPr="00B97D44" w:rsidRDefault="00974326" w:rsidP="002A2770">
      <w:pPr>
        <w:jc w:val="both"/>
      </w:pPr>
      <w:r w:rsidRPr="00B97D44">
        <w:t>Os autores agradecem à Universidade Estadual do Norte do Paraná (UENP), Núcleo de Ensino, Extensão e Pesquisa em Agroecologia, Sustentabilidade e Produção Orgânica (NEPASP), Universidade Estadual Júlio de Mesquita Filho (UNESP/Assis), Conselho Nacional de Desenvolvimento Científico e Tecnológico (CNPq), Fundação Araucária e aos Ministérios da Educação (MEC), da Agricultura, Pecuária e Abastecimento (MAPA), da Ciência, Tecnologia e Inovação (MCTI), do Desenvolvimento Agrário (MDA) e da Pesca e Aquicultura (MPA) pelo suporte à execução do projeto e concessão de bolsa, e à</w:t>
      </w:r>
      <w:r w:rsidR="00C96CD1" w:rsidRPr="00B97D44">
        <w:t>s pessoas que ajudaram direta</w:t>
      </w:r>
      <w:r w:rsidRPr="00B97D44">
        <w:t xml:space="preserve"> ou</w:t>
      </w:r>
      <w:r w:rsidR="00C96CD1" w:rsidRPr="00B97D44">
        <w:t xml:space="preserve"> indiretamente </w:t>
      </w:r>
      <w:r w:rsidRPr="00B97D44">
        <w:t>para a execução deste</w:t>
      </w:r>
      <w:r w:rsidR="00C96CD1" w:rsidRPr="00B97D44">
        <w:t xml:space="preserve"> trabalho.</w:t>
      </w:r>
    </w:p>
    <w:p w14:paraId="63CED8BC" w14:textId="77777777" w:rsidR="00B75FC5" w:rsidRPr="00B97D44" w:rsidRDefault="00B75FC5" w:rsidP="00B75FC5">
      <w:pPr>
        <w:jc w:val="both"/>
      </w:pPr>
    </w:p>
    <w:p w14:paraId="115D8794" w14:textId="77777777" w:rsidR="00B75FC5" w:rsidRPr="00B97D44" w:rsidRDefault="00B75FC5" w:rsidP="00B75FC5">
      <w:pPr>
        <w:jc w:val="both"/>
      </w:pPr>
    </w:p>
    <w:p w14:paraId="4C270617" w14:textId="77777777" w:rsidR="004262A7" w:rsidRPr="00B97D44" w:rsidRDefault="00D93AA5" w:rsidP="00B75FC5">
      <w:pPr>
        <w:jc w:val="both"/>
      </w:pPr>
      <w:r w:rsidRPr="00B97D44">
        <w:rPr>
          <w:b/>
        </w:rPr>
        <w:t>Referências</w:t>
      </w:r>
    </w:p>
    <w:p w14:paraId="10218B95" w14:textId="77777777" w:rsidR="004262A7" w:rsidRPr="00B97D44" w:rsidRDefault="004262A7" w:rsidP="00B75FC5">
      <w:pPr>
        <w:jc w:val="both"/>
      </w:pPr>
    </w:p>
    <w:p w14:paraId="71F483D4" w14:textId="77777777" w:rsidR="009764D1" w:rsidRPr="00B97D44" w:rsidRDefault="009764D1" w:rsidP="00B75FC5">
      <w:pPr>
        <w:jc w:val="both"/>
        <w:rPr>
          <w:rStyle w:val="A4"/>
          <w:rFonts w:cs="Times New Roman"/>
          <w:sz w:val="24"/>
          <w:szCs w:val="24"/>
        </w:rPr>
      </w:pPr>
      <w:r w:rsidRPr="00B97D44">
        <w:rPr>
          <w:rFonts w:eastAsia="Calibri"/>
          <w:lang w:eastAsia="en-US"/>
        </w:rPr>
        <w:t xml:space="preserve">ANDREOTTI, R. </w:t>
      </w:r>
      <w:r w:rsidRPr="00B97D44">
        <w:rPr>
          <w:rStyle w:val="A4"/>
          <w:rFonts w:cs="Times New Roman"/>
          <w:b/>
          <w:sz w:val="24"/>
          <w:szCs w:val="24"/>
        </w:rPr>
        <w:t xml:space="preserve">Situação atual da resistência do carrapato-do-boi </w:t>
      </w:r>
      <w:proofErr w:type="spellStart"/>
      <w:r w:rsidRPr="00B97D44">
        <w:rPr>
          <w:rStyle w:val="A4"/>
          <w:rFonts w:cs="Times New Roman"/>
          <w:b/>
          <w:i/>
          <w:sz w:val="24"/>
          <w:szCs w:val="24"/>
        </w:rPr>
        <w:t>Rhipicephalus</w:t>
      </w:r>
      <w:proofErr w:type="spellEnd"/>
      <w:r w:rsidRPr="00B97D44">
        <w:rPr>
          <w:rStyle w:val="A4"/>
          <w:rFonts w:cs="Times New Roman"/>
          <w:b/>
          <w:i/>
          <w:sz w:val="24"/>
          <w:szCs w:val="24"/>
        </w:rPr>
        <w:t xml:space="preserve"> (</w:t>
      </w:r>
      <w:proofErr w:type="spellStart"/>
      <w:r w:rsidRPr="00B97D44">
        <w:rPr>
          <w:rStyle w:val="A4"/>
          <w:rFonts w:cs="Times New Roman"/>
          <w:b/>
          <w:i/>
          <w:sz w:val="24"/>
          <w:szCs w:val="24"/>
        </w:rPr>
        <w:t>Boophilus</w:t>
      </w:r>
      <w:proofErr w:type="spellEnd"/>
      <w:r w:rsidRPr="00B97D44">
        <w:rPr>
          <w:rStyle w:val="A4"/>
          <w:rFonts w:cs="Times New Roman"/>
          <w:b/>
          <w:i/>
          <w:sz w:val="24"/>
          <w:szCs w:val="24"/>
        </w:rPr>
        <w:t xml:space="preserve">) </w:t>
      </w:r>
      <w:proofErr w:type="spellStart"/>
      <w:r w:rsidRPr="00B97D44">
        <w:rPr>
          <w:rStyle w:val="A4"/>
          <w:rFonts w:cs="Times New Roman"/>
          <w:b/>
          <w:i/>
          <w:sz w:val="24"/>
          <w:szCs w:val="24"/>
        </w:rPr>
        <w:t>microplus</w:t>
      </w:r>
      <w:proofErr w:type="spellEnd"/>
      <w:r w:rsidRPr="00B97D44">
        <w:rPr>
          <w:rStyle w:val="A4"/>
          <w:rFonts w:cs="Times New Roman"/>
          <w:b/>
          <w:sz w:val="24"/>
          <w:szCs w:val="24"/>
        </w:rPr>
        <w:t xml:space="preserve"> aos acaricidas no Brasil.</w:t>
      </w:r>
      <w:r w:rsidRPr="00B97D44">
        <w:rPr>
          <w:rStyle w:val="A4"/>
          <w:rFonts w:cs="Times New Roman"/>
          <w:sz w:val="24"/>
          <w:szCs w:val="24"/>
        </w:rPr>
        <w:t xml:space="preserve"> Campo Grande, MS: Embrapa Gado de Corte. p.36, (Documentos / Embrapa Gado de Corte, ISSN 1983-974X). 2010.</w:t>
      </w:r>
    </w:p>
    <w:p w14:paraId="4C725EC4" w14:textId="77777777" w:rsidR="00CF26AB" w:rsidRPr="00B97D44" w:rsidRDefault="00CF26AB" w:rsidP="00B75FC5">
      <w:pPr>
        <w:jc w:val="both"/>
        <w:rPr>
          <w:rStyle w:val="A4"/>
          <w:rFonts w:cs="Times New Roman"/>
          <w:sz w:val="24"/>
          <w:szCs w:val="24"/>
        </w:rPr>
      </w:pPr>
    </w:p>
    <w:p w14:paraId="5AAA5DB1" w14:textId="77777777" w:rsidR="00B26AC0" w:rsidRPr="00B97D44" w:rsidRDefault="00B26AC0" w:rsidP="00B75FC5">
      <w:pPr>
        <w:jc w:val="both"/>
      </w:pPr>
      <w:r w:rsidRPr="00B97D44">
        <w:rPr>
          <w:bCs/>
          <w:iCs/>
        </w:rPr>
        <w:t xml:space="preserve">BIAVATTI, M.W.; DOSSIN, D.; DESCHAMPS, F.C.; LIMA, M. da P. </w:t>
      </w:r>
      <w:r w:rsidRPr="00B97D44">
        <w:rPr>
          <w:b/>
          <w:bCs/>
        </w:rPr>
        <w:t xml:space="preserve">Análise de óleos-resinas de copaíba: contribuição para o seu controle de qualidade. </w:t>
      </w:r>
      <w:r w:rsidRPr="00B97D44">
        <w:t>Revista Brasileira de Farmacognosia (</w:t>
      </w:r>
      <w:proofErr w:type="spellStart"/>
      <w:r w:rsidRPr="00B97D44">
        <w:t>Brazilian</w:t>
      </w:r>
      <w:proofErr w:type="spellEnd"/>
      <w:r w:rsidRPr="00B97D44">
        <w:t xml:space="preserve"> </w:t>
      </w:r>
      <w:proofErr w:type="spellStart"/>
      <w:r w:rsidRPr="00B97D44">
        <w:t>Journal</w:t>
      </w:r>
      <w:proofErr w:type="spellEnd"/>
      <w:r w:rsidRPr="00B97D44">
        <w:t xml:space="preserve"> </w:t>
      </w:r>
      <w:proofErr w:type="spellStart"/>
      <w:r w:rsidRPr="00B97D44">
        <w:t>of</w:t>
      </w:r>
      <w:proofErr w:type="spellEnd"/>
      <w:r w:rsidRPr="00B97D44">
        <w:t xml:space="preserve"> </w:t>
      </w:r>
      <w:proofErr w:type="spellStart"/>
      <w:r w:rsidRPr="00B97D44">
        <w:t>Pharmacognosy</w:t>
      </w:r>
      <w:proofErr w:type="spellEnd"/>
      <w:r w:rsidRPr="00B97D44">
        <w:t>), 16(2): 230-235, 2006.</w:t>
      </w:r>
    </w:p>
    <w:p w14:paraId="54D93CFF" w14:textId="77777777" w:rsidR="00CE65E2" w:rsidRPr="00B97D44" w:rsidRDefault="00CE65E2" w:rsidP="00B75FC5">
      <w:pPr>
        <w:jc w:val="both"/>
        <w:rPr>
          <w:rStyle w:val="A1"/>
          <w:rFonts w:cs="Times New Roman"/>
          <w:sz w:val="24"/>
          <w:szCs w:val="24"/>
        </w:rPr>
      </w:pPr>
    </w:p>
    <w:p w14:paraId="2D05D97B" w14:textId="77777777" w:rsidR="00FE0417" w:rsidRPr="00B97D44" w:rsidRDefault="00FE0417" w:rsidP="00B75FC5">
      <w:pPr>
        <w:jc w:val="both"/>
      </w:pPr>
      <w:r w:rsidRPr="00B97D44">
        <w:rPr>
          <w:rStyle w:val="A1"/>
          <w:rFonts w:cs="Times New Roman"/>
          <w:sz w:val="24"/>
          <w:szCs w:val="24"/>
        </w:rPr>
        <w:t xml:space="preserve">BRASIL, Ministério da Agricultura. Portaria n. 90 de 04 de dez. de 1989. </w:t>
      </w:r>
      <w:r w:rsidRPr="00B97D44">
        <w:rPr>
          <w:rStyle w:val="A1"/>
          <w:rFonts w:cs="Times New Roman"/>
          <w:b/>
          <w:sz w:val="24"/>
          <w:szCs w:val="24"/>
        </w:rPr>
        <w:t>Normas para produção, controle e utilização de produtos antiparasitários</w:t>
      </w:r>
      <w:r w:rsidRPr="00B97D44">
        <w:rPr>
          <w:rStyle w:val="A1"/>
          <w:rFonts w:cs="Times New Roman"/>
          <w:sz w:val="24"/>
          <w:szCs w:val="24"/>
        </w:rPr>
        <w:t>. Diário Oficial, 22 jan. 1990, séc. 1, col. 2.</w:t>
      </w:r>
    </w:p>
    <w:p w14:paraId="54750B2A" w14:textId="77777777" w:rsidR="009764D1" w:rsidRPr="00B97D44" w:rsidRDefault="009764D1" w:rsidP="00B75FC5">
      <w:pPr>
        <w:jc w:val="both"/>
      </w:pPr>
    </w:p>
    <w:p w14:paraId="293A2F0A" w14:textId="77777777" w:rsidR="000E33EC" w:rsidRPr="00B97D44" w:rsidRDefault="000E33EC" w:rsidP="00B75FC5">
      <w:pPr>
        <w:jc w:val="both"/>
      </w:pPr>
      <w:r w:rsidRPr="00B97D44">
        <w:rPr>
          <w:lang w:val="en-US"/>
        </w:rPr>
        <w:t xml:space="preserve">DRUMMOND, R.O.; ERNEST, S.E.; TREVINO, J.L.; GLADNEY, W.J.; GRAHAM, O.H. </w:t>
      </w:r>
      <w:proofErr w:type="spellStart"/>
      <w:r w:rsidRPr="00B97D44">
        <w:rPr>
          <w:b/>
          <w:i/>
          <w:lang w:val="en-US"/>
        </w:rPr>
        <w:t>Boophilus</w:t>
      </w:r>
      <w:proofErr w:type="spellEnd"/>
      <w:r w:rsidR="00B26AC0" w:rsidRPr="00B97D44">
        <w:rPr>
          <w:b/>
          <w:i/>
          <w:lang w:val="en-US"/>
        </w:rPr>
        <w:t xml:space="preserve"> </w:t>
      </w:r>
      <w:proofErr w:type="spellStart"/>
      <w:r w:rsidRPr="00B97D44">
        <w:rPr>
          <w:b/>
          <w:i/>
          <w:lang w:val="en-US"/>
        </w:rPr>
        <w:t>annulatus</w:t>
      </w:r>
      <w:proofErr w:type="spellEnd"/>
      <w:r w:rsidRPr="00B97D44">
        <w:rPr>
          <w:b/>
          <w:lang w:val="en-US"/>
        </w:rPr>
        <w:t xml:space="preserve"> and </w:t>
      </w:r>
      <w:proofErr w:type="spellStart"/>
      <w:r w:rsidRPr="00B97D44">
        <w:rPr>
          <w:b/>
          <w:i/>
          <w:lang w:val="en-US"/>
        </w:rPr>
        <w:t>Boophilus</w:t>
      </w:r>
      <w:proofErr w:type="spellEnd"/>
      <w:r w:rsidR="00B26AC0" w:rsidRPr="00B97D44">
        <w:rPr>
          <w:b/>
          <w:i/>
          <w:lang w:val="en-US"/>
        </w:rPr>
        <w:t xml:space="preserve"> </w:t>
      </w:r>
      <w:proofErr w:type="spellStart"/>
      <w:r w:rsidRPr="00B97D44">
        <w:rPr>
          <w:b/>
          <w:i/>
          <w:lang w:val="en-US"/>
        </w:rPr>
        <w:t>microplus</w:t>
      </w:r>
      <w:proofErr w:type="spellEnd"/>
      <w:r w:rsidRPr="00B97D44">
        <w:rPr>
          <w:b/>
          <w:lang w:val="en-US"/>
        </w:rPr>
        <w:t xml:space="preserve">: Laboratory test of insecticides. </w:t>
      </w:r>
      <w:proofErr w:type="spellStart"/>
      <w:r w:rsidRPr="00B97D44">
        <w:t>Journal</w:t>
      </w:r>
      <w:proofErr w:type="spellEnd"/>
      <w:r w:rsidR="00B26AC0" w:rsidRPr="00B97D44">
        <w:t xml:space="preserve"> </w:t>
      </w:r>
      <w:proofErr w:type="spellStart"/>
      <w:r w:rsidRPr="00B97D44">
        <w:t>of</w:t>
      </w:r>
      <w:proofErr w:type="spellEnd"/>
      <w:r w:rsidR="00B26AC0" w:rsidRPr="00B97D44">
        <w:t xml:space="preserve"> </w:t>
      </w:r>
      <w:proofErr w:type="spellStart"/>
      <w:r w:rsidRPr="00B97D44">
        <w:t>Economic</w:t>
      </w:r>
      <w:proofErr w:type="spellEnd"/>
      <w:r w:rsidR="00B26AC0" w:rsidRPr="00B97D44">
        <w:t xml:space="preserve"> </w:t>
      </w:r>
      <w:proofErr w:type="spellStart"/>
      <w:r w:rsidRPr="00B97D44">
        <w:t>Entomology</w:t>
      </w:r>
      <w:proofErr w:type="spellEnd"/>
      <w:r w:rsidRPr="00B97D44">
        <w:t>. v. 66. n.1. p. 130-133. 1973.</w:t>
      </w:r>
    </w:p>
    <w:p w14:paraId="382B51E0" w14:textId="77777777" w:rsidR="000E33EC" w:rsidRPr="00B97D44" w:rsidRDefault="000E33EC" w:rsidP="00B75FC5">
      <w:pPr>
        <w:autoSpaceDE w:val="0"/>
        <w:autoSpaceDN w:val="0"/>
        <w:adjustRightInd w:val="0"/>
        <w:jc w:val="both"/>
      </w:pPr>
    </w:p>
    <w:p w14:paraId="70F0BD89" w14:textId="77777777" w:rsidR="00CE65E2" w:rsidRPr="00B97D44" w:rsidRDefault="00CE65E2" w:rsidP="00B75FC5">
      <w:pPr>
        <w:autoSpaceDE w:val="0"/>
        <w:autoSpaceDN w:val="0"/>
        <w:adjustRightInd w:val="0"/>
        <w:jc w:val="both"/>
        <w:rPr>
          <w:lang w:val="en-US"/>
        </w:rPr>
      </w:pPr>
      <w:r w:rsidRPr="00B97D44">
        <w:t xml:space="preserve">FERNANDES, F.F. e FREITAS, E.P.S. </w:t>
      </w:r>
      <w:proofErr w:type="spellStart"/>
      <w:r w:rsidRPr="00B97D44">
        <w:rPr>
          <w:b/>
        </w:rPr>
        <w:t>Acaricidal</w:t>
      </w:r>
      <w:proofErr w:type="spellEnd"/>
      <w:r w:rsidRPr="00B97D44">
        <w:rPr>
          <w:b/>
        </w:rPr>
        <w:t xml:space="preserve"> </w:t>
      </w:r>
      <w:proofErr w:type="spellStart"/>
      <w:r w:rsidRPr="00B97D44">
        <w:rPr>
          <w:b/>
        </w:rPr>
        <w:t>activity</w:t>
      </w:r>
      <w:proofErr w:type="spellEnd"/>
      <w:r w:rsidRPr="00B97D44">
        <w:rPr>
          <w:b/>
        </w:rPr>
        <w:t xml:space="preserve"> </w:t>
      </w:r>
      <w:proofErr w:type="spellStart"/>
      <w:r w:rsidRPr="00B97D44">
        <w:rPr>
          <w:b/>
        </w:rPr>
        <w:t>of</w:t>
      </w:r>
      <w:proofErr w:type="spellEnd"/>
      <w:r w:rsidRPr="00B97D44">
        <w:rPr>
          <w:b/>
        </w:rPr>
        <w:t xml:space="preserve"> </w:t>
      </w:r>
      <w:proofErr w:type="spellStart"/>
      <w:r w:rsidRPr="00B97D44">
        <w:rPr>
          <w:b/>
        </w:rPr>
        <w:t>an</w:t>
      </w:r>
      <w:proofErr w:type="spellEnd"/>
      <w:r w:rsidRPr="00B97D44">
        <w:rPr>
          <w:b/>
        </w:rPr>
        <w:t xml:space="preserve"> </w:t>
      </w:r>
      <w:proofErr w:type="spellStart"/>
      <w:r w:rsidRPr="00B97D44">
        <w:rPr>
          <w:b/>
        </w:rPr>
        <w:t>oleoresinous</w:t>
      </w:r>
      <w:proofErr w:type="spellEnd"/>
      <w:r w:rsidRPr="00B97D44">
        <w:t xml:space="preserve"> </w:t>
      </w:r>
      <w:r w:rsidRPr="00B97D44">
        <w:rPr>
          <w:b/>
          <w:lang w:val="en-US"/>
        </w:rPr>
        <w:t xml:space="preserve">extract from </w:t>
      </w:r>
      <w:proofErr w:type="spellStart"/>
      <w:r w:rsidRPr="00B97D44">
        <w:rPr>
          <w:b/>
          <w:i/>
          <w:lang w:val="en-US"/>
        </w:rPr>
        <w:t>Copaifera</w:t>
      </w:r>
      <w:proofErr w:type="spellEnd"/>
      <w:r w:rsidRPr="00B97D44">
        <w:rPr>
          <w:b/>
          <w:i/>
          <w:lang w:val="en-US"/>
        </w:rPr>
        <w:t xml:space="preserve"> </w:t>
      </w:r>
      <w:proofErr w:type="spellStart"/>
      <w:r w:rsidRPr="00B97D44">
        <w:rPr>
          <w:b/>
          <w:i/>
          <w:lang w:val="en-US"/>
        </w:rPr>
        <w:t>reticulata</w:t>
      </w:r>
      <w:proofErr w:type="spellEnd"/>
      <w:r w:rsidRPr="00B97D44">
        <w:rPr>
          <w:b/>
          <w:lang w:val="en-US"/>
        </w:rPr>
        <w:t xml:space="preserve"> (</w:t>
      </w:r>
      <w:proofErr w:type="spellStart"/>
      <w:r w:rsidRPr="00B97D44">
        <w:rPr>
          <w:b/>
          <w:lang w:val="en-US"/>
        </w:rPr>
        <w:t>Leguminosae</w:t>
      </w:r>
      <w:proofErr w:type="spellEnd"/>
      <w:r w:rsidRPr="00B97D44">
        <w:rPr>
          <w:b/>
          <w:lang w:val="en-US"/>
        </w:rPr>
        <w:t xml:space="preserve">: </w:t>
      </w:r>
      <w:proofErr w:type="spellStart"/>
      <w:r w:rsidRPr="00B97D44">
        <w:rPr>
          <w:b/>
          <w:lang w:val="en-US"/>
        </w:rPr>
        <w:t>Caesalpinioideae</w:t>
      </w:r>
      <w:proofErr w:type="spellEnd"/>
      <w:r w:rsidRPr="00B97D44">
        <w:rPr>
          <w:b/>
          <w:lang w:val="en-US"/>
        </w:rPr>
        <w:t xml:space="preserve">) against larvae of the southern cattle tick, </w:t>
      </w:r>
      <w:proofErr w:type="spellStart"/>
      <w:r w:rsidRPr="00B97D44">
        <w:rPr>
          <w:b/>
          <w:i/>
          <w:lang w:val="en-US"/>
        </w:rPr>
        <w:t>Rhipicephalus</w:t>
      </w:r>
      <w:proofErr w:type="spellEnd"/>
      <w:r w:rsidRPr="00B97D44">
        <w:rPr>
          <w:b/>
          <w:i/>
          <w:lang w:val="en-US"/>
        </w:rPr>
        <w:t xml:space="preserve"> (</w:t>
      </w:r>
      <w:proofErr w:type="spellStart"/>
      <w:r w:rsidRPr="00B97D44">
        <w:rPr>
          <w:b/>
          <w:i/>
          <w:lang w:val="en-US"/>
        </w:rPr>
        <w:t>Boophilus</w:t>
      </w:r>
      <w:proofErr w:type="spellEnd"/>
      <w:r w:rsidRPr="00B97D44">
        <w:rPr>
          <w:b/>
          <w:i/>
          <w:lang w:val="en-US"/>
        </w:rPr>
        <w:t xml:space="preserve">) </w:t>
      </w:r>
      <w:proofErr w:type="spellStart"/>
      <w:r w:rsidRPr="00B97D44">
        <w:rPr>
          <w:b/>
          <w:i/>
          <w:lang w:val="en-US"/>
        </w:rPr>
        <w:t>microplus</w:t>
      </w:r>
      <w:proofErr w:type="spellEnd"/>
      <w:r w:rsidRPr="00B97D44">
        <w:rPr>
          <w:b/>
          <w:lang w:val="en-US"/>
        </w:rPr>
        <w:t xml:space="preserve"> (</w:t>
      </w:r>
      <w:proofErr w:type="spellStart"/>
      <w:r w:rsidRPr="00B97D44">
        <w:rPr>
          <w:b/>
          <w:lang w:val="en-US"/>
        </w:rPr>
        <w:t>Acari</w:t>
      </w:r>
      <w:proofErr w:type="spellEnd"/>
      <w:r w:rsidRPr="00B97D44">
        <w:rPr>
          <w:b/>
          <w:lang w:val="en-US"/>
        </w:rPr>
        <w:t xml:space="preserve">: </w:t>
      </w:r>
      <w:proofErr w:type="spellStart"/>
      <w:r w:rsidRPr="00B97D44">
        <w:rPr>
          <w:b/>
          <w:lang w:val="en-US"/>
        </w:rPr>
        <w:t>Ixodidae</w:t>
      </w:r>
      <w:proofErr w:type="spellEnd"/>
      <w:r w:rsidRPr="00B97D44">
        <w:rPr>
          <w:b/>
          <w:lang w:val="en-US"/>
        </w:rPr>
        <w:t>).</w:t>
      </w:r>
      <w:r w:rsidRPr="00B97D44">
        <w:rPr>
          <w:lang w:val="en-US"/>
        </w:rPr>
        <w:t>Veterinary Parasitology,147, 150–154, 2007.</w:t>
      </w:r>
    </w:p>
    <w:p w14:paraId="5EA435B1" w14:textId="77777777" w:rsidR="00CE65E2" w:rsidRPr="00B97D44" w:rsidRDefault="00CE65E2" w:rsidP="00B75FC5">
      <w:pPr>
        <w:autoSpaceDE w:val="0"/>
        <w:autoSpaceDN w:val="0"/>
        <w:adjustRightInd w:val="0"/>
        <w:jc w:val="both"/>
      </w:pPr>
    </w:p>
    <w:p w14:paraId="5CACAA21" w14:textId="77777777" w:rsidR="000E33EC" w:rsidRPr="00B97D44" w:rsidRDefault="000E33EC" w:rsidP="00B75FC5">
      <w:pPr>
        <w:autoSpaceDE w:val="0"/>
        <w:autoSpaceDN w:val="0"/>
        <w:adjustRightInd w:val="0"/>
        <w:jc w:val="both"/>
        <w:rPr>
          <w:bCs/>
        </w:rPr>
      </w:pPr>
      <w:r w:rsidRPr="00B97D44">
        <w:t xml:space="preserve">FILHO, S.M.L.; SILVA, L.B.; FERNANDES, R.M.; LOPES, G.S. </w:t>
      </w:r>
      <w:r w:rsidRPr="00B97D44">
        <w:rPr>
          <w:b/>
          <w:bCs/>
        </w:rPr>
        <w:t xml:space="preserve">Efeito do extrato aquoso e </w:t>
      </w:r>
      <w:proofErr w:type="spellStart"/>
      <w:r w:rsidRPr="00B97D44">
        <w:rPr>
          <w:b/>
          <w:bCs/>
        </w:rPr>
        <w:t>etanólico</w:t>
      </w:r>
      <w:proofErr w:type="spellEnd"/>
      <w:r w:rsidRPr="00B97D44">
        <w:rPr>
          <w:b/>
          <w:bCs/>
        </w:rPr>
        <w:t xml:space="preserve"> do angico preto sobre larvas de </w:t>
      </w:r>
      <w:proofErr w:type="spellStart"/>
      <w:r w:rsidRPr="00B97D44">
        <w:rPr>
          <w:b/>
          <w:bCs/>
          <w:i/>
          <w:iCs/>
        </w:rPr>
        <w:t>Rhipicephalus</w:t>
      </w:r>
      <w:proofErr w:type="spellEnd"/>
      <w:r w:rsidRPr="00B97D44">
        <w:rPr>
          <w:b/>
          <w:bCs/>
          <w:i/>
          <w:iCs/>
        </w:rPr>
        <w:t xml:space="preserve"> (</w:t>
      </w:r>
      <w:proofErr w:type="spellStart"/>
      <w:r w:rsidRPr="00B97D44">
        <w:rPr>
          <w:b/>
          <w:bCs/>
          <w:i/>
          <w:iCs/>
        </w:rPr>
        <w:t>Boophilus</w:t>
      </w:r>
      <w:proofErr w:type="spellEnd"/>
      <w:r w:rsidRPr="00B97D44">
        <w:rPr>
          <w:b/>
          <w:bCs/>
          <w:i/>
          <w:iCs/>
        </w:rPr>
        <w:t xml:space="preserve">) </w:t>
      </w:r>
      <w:proofErr w:type="spellStart"/>
      <w:r w:rsidRPr="00B97D44">
        <w:rPr>
          <w:b/>
          <w:bCs/>
          <w:i/>
          <w:iCs/>
        </w:rPr>
        <w:t>microplus</w:t>
      </w:r>
      <w:proofErr w:type="spellEnd"/>
      <w:r w:rsidRPr="00B97D44">
        <w:rPr>
          <w:b/>
          <w:bCs/>
          <w:i/>
          <w:iCs/>
        </w:rPr>
        <w:t>.</w:t>
      </w:r>
      <w:r w:rsidR="00B26AC0" w:rsidRPr="00B97D44">
        <w:rPr>
          <w:b/>
          <w:bCs/>
          <w:i/>
          <w:iCs/>
        </w:rPr>
        <w:t xml:space="preserve"> </w:t>
      </w:r>
      <w:r w:rsidRPr="00B97D44">
        <w:rPr>
          <w:bCs/>
          <w:iCs/>
        </w:rPr>
        <w:t>Arquivo Brasil</w:t>
      </w:r>
      <w:r w:rsidR="00B26AC0" w:rsidRPr="00B97D44">
        <w:rPr>
          <w:bCs/>
          <w:iCs/>
        </w:rPr>
        <w:t xml:space="preserve">eiro de Medicina Veterinária e </w:t>
      </w:r>
      <w:r w:rsidRPr="00B97D44">
        <w:rPr>
          <w:bCs/>
          <w:iCs/>
        </w:rPr>
        <w:t>Zootecnia</w:t>
      </w:r>
      <w:r w:rsidRPr="00B97D44">
        <w:rPr>
          <w:bCs/>
        </w:rPr>
        <w:t xml:space="preserve">. v.65. n.3. p.637-644. 2013. </w:t>
      </w:r>
    </w:p>
    <w:p w14:paraId="6707A43B" w14:textId="77777777" w:rsidR="007860B8" w:rsidRPr="00B97D44" w:rsidRDefault="007860B8" w:rsidP="00B75FC5">
      <w:pPr>
        <w:jc w:val="both"/>
      </w:pPr>
    </w:p>
    <w:p w14:paraId="2B344905" w14:textId="77777777" w:rsidR="000E33EC" w:rsidRPr="00B97D44" w:rsidRDefault="009764D1" w:rsidP="00B75FC5">
      <w:pPr>
        <w:jc w:val="both"/>
        <w:rPr>
          <w:rFonts w:eastAsia="Calibri"/>
          <w:lang w:eastAsia="en-US"/>
        </w:rPr>
      </w:pPr>
      <w:r w:rsidRPr="00B97D44">
        <w:t>GIGLIOTI, R.</w:t>
      </w:r>
      <w:r w:rsidR="00B26AC0" w:rsidRPr="00B97D44">
        <w:t xml:space="preserve"> </w:t>
      </w:r>
      <w:r w:rsidRPr="00B97D44">
        <w:rPr>
          <w:rFonts w:eastAsia="Calibri"/>
          <w:b/>
          <w:lang w:eastAsia="en-US"/>
        </w:rPr>
        <w:t xml:space="preserve">Efeito de extratos de sementes de </w:t>
      </w:r>
      <w:proofErr w:type="spellStart"/>
      <w:r w:rsidRPr="00B97D44">
        <w:rPr>
          <w:rFonts w:eastAsia="Calibri"/>
          <w:b/>
          <w:lang w:eastAsia="en-US"/>
        </w:rPr>
        <w:t>Nim</w:t>
      </w:r>
      <w:proofErr w:type="spellEnd"/>
      <w:r w:rsidRPr="00B97D44">
        <w:rPr>
          <w:rFonts w:eastAsia="Calibri"/>
          <w:b/>
          <w:lang w:eastAsia="en-US"/>
        </w:rPr>
        <w:t xml:space="preserve"> (</w:t>
      </w:r>
      <w:proofErr w:type="spellStart"/>
      <w:r w:rsidRPr="00B97D44">
        <w:rPr>
          <w:rFonts w:eastAsia="Calibri"/>
          <w:b/>
          <w:lang w:eastAsia="en-US"/>
        </w:rPr>
        <w:t>A</w:t>
      </w:r>
      <w:r w:rsidRPr="00B97D44">
        <w:rPr>
          <w:rFonts w:eastAsia="Calibri"/>
          <w:b/>
          <w:i/>
          <w:iCs/>
          <w:lang w:eastAsia="en-US"/>
        </w:rPr>
        <w:t>zadirachta</w:t>
      </w:r>
      <w:proofErr w:type="spellEnd"/>
      <w:r w:rsidRPr="00B97D44">
        <w:rPr>
          <w:rFonts w:eastAsia="Calibri"/>
          <w:b/>
          <w:i/>
          <w:iCs/>
          <w:lang w:eastAsia="en-US"/>
        </w:rPr>
        <w:t xml:space="preserve"> indica</w:t>
      </w:r>
      <w:r w:rsidRPr="00B97D44">
        <w:rPr>
          <w:rFonts w:eastAsia="Calibri"/>
          <w:b/>
          <w:lang w:eastAsia="en-US"/>
        </w:rPr>
        <w:t xml:space="preserve">) sobre fêmeas ingurgitadas e larvas de </w:t>
      </w:r>
      <w:proofErr w:type="spellStart"/>
      <w:r w:rsidRPr="00B97D44">
        <w:rPr>
          <w:rFonts w:eastAsia="Calibri"/>
          <w:b/>
          <w:i/>
          <w:iCs/>
          <w:lang w:eastAsia="en-US"/>
        </w:rPr>
        <w:t>Rhipicephalus</w:t>
      </w:r>
      <w:proofErr w:type="spellEnd"/>
      <w:r w:rsidRPr="00B97D44">
        <w:rPr>
          <w:rFonts w:eastAsia="Calibri"/>
          <w:b/>
          <w:i/>
          <w:iCs/>
          <w:lang w:eastAsia="en-US"/>
        </w:rPr>
        <w:t xml:space="preserve"> (</w:t>
      </w:r>
      <w:proofErr w:type="spellStart"/>
      <w:r w:rsidRPr="00B97D44">
        <w:rPr>
          <w:rFonts w:eastAsia="Calibri"/>
          <w:b/>
          <w:i/>
          <w:iCs/>
          <w:lang w:eastAsia="en-US"/>
        </w:rPr>
        <w:t>boophilus</w:t>
      </w:r>
      <w:proofErr w:type="spellEnd"/>
      <w:r w:rsidRPr="00B97D44">
        <w:rPr>
          <w:rFonts w:eastAsia="Calibri"/>
          <w:b/>
          <w:i/>
          <w:iCs/>
          <w:lang w:eastAsia="en-US"/>
        </w:rPr>
        <w:t xml:space="preserve">) </w:t>
      </w:r>
      <w:proofErr w:type="spellStart"/>
      <w:r w:rsidRPr="00B97D44">
        <w:rPr>
          <w:rFonts w:eastAsia="Calibri"/>
          <w:b/>
          <w:i/>
          <w:iCs/>
          <w:lang w:eastAsia="en-US"/>
        </w:rPr>
        <w:t>microplus</w:t>
      </w:r>
      <w:proofErr w:type="spellEnd"/>
      <w:r w:rsidRPr="00B97D44">
        <w:rPr>
          <w:rFonts w:eastAsia="Calibri"/>
          <w:b/>
          <w:lang w:eastAsia="en-US"/>
        </w:rPr>
        <w:t xml:space="preserve"> (CANESTRINI, 1887) (ACARI: IXODIDAE).</w:t>
      </w:r>
      <w:r w:rsidRPr="00B97D44">
        <w:rPr>
          <w:rFonts w:eastAsia="Calibri"/>
          <w:lang w:eastAsia="en-US"/>
        </w:rPr>
        <w:t xml:space="preserve"> Jaboticabal, v.13. 55 f. 2010. </w:t>
      </w:r>
    </w:p>
    <w:p w14:paraId="0FE219A3" w14:textId="77777777" w:rsidR="007860B8" w:rsidRPr="00B97D44" w:rsidRDefault="007860B8" w:rsidP="00B75FC5">
      <w:pPr>
        <w:jc w:val="both"/>
        <w:rPr>
          <w:rFonts w:eastAsia="Calibri"/>
          <w:lang w:eastAsia="en-US"/>
        </w:rPr>
      </w:pPr>
    </w:p>
    <w:p w14:paraId="6FFE4D5E" w14:textId="77777777" w:rsidR="009764D1" w:rsidRPr="00B97D44" w:rsidRDefault="009764D1" w:rsidP="00B75FC5">
      <w:pPr>
        <w:jc w:val="both"/>
        <w:rPr>
          <w:rFonts w:eastAsia="Calibri"/>
          <w:lang w:eastAsia="en-US"/>
        </w:rPr>
      </w:pPr>
      <w:r w:rsidRPr="00B97D44">
        <w:t xml:space="preserve">HOCAYEN, P.A.S. e PIMENTA, D.S. </w:t>
      </w:r>
      <w:r w:rsidRPr="00B97D44">
        <w:rPr>
          <w:b/>
        </w:rPr>
        <w:t xml:space="preserve">Extrato de plantas medicinais como carrapaticida de </w:t>
      </w:r>
      <w:proofErr w:type="spellStart"/>
      <w:r w:rsidRPr="00B97D44">
        <w:rPr>
          <w:b/>
          <w:i/>
        </w:rPr>
        <w:t>Rhipicephalus</w:t>
      </w:r>
      <w:proofErr w:type="spellEnd"/>
      <w:r w:rsidRPr="00B97D44">
        <w:rPr>
          <w:b/>
          <w:i/>
        </w:rPr>
        <w:t xml:space="preserve"> (</w:t>
      </w:r>
      <w:proofErr w:type="spellStart"/>
      <w:r w:rsidRPr="00B97D44">
        <w:rPr>
          <w:b/>
          <w:i/>
        </w:rPr>
        <w:t>Boophilus</w:t>
      </w:r>
      <w:proofErr w:type="spellEnd"/>
      <w:r w:rsidRPr="00B97D44">
        <w:rPr>
          <w:b/>
          <w:i/>
        </w:rPr>
        <w:t xml:space="preserve">) </w:t>
      </w:r>
      <w:proofErr w:type="spellStart"/>
      <w:r w:rsidRPr="00B97D44">
        <w:rPr>
          <w:b/>
          <w:i/>
        </w:rPr>
        <w:t>microplus</w:t>
      </w:r>
      <w:proofErr w:type="spellEnd"/>
      <w:r w:rsidRPr="00B97D44">
        <w:t xml:space="preserve"> Rev. Bras. Pl. Med., Campinas, v.15, n.4, supl.I, p.627-631, 2013.</w:t>
      </w:r>
    </w:p>
    <w:p w14:paraId="09EAF01C" w14:textId="77777777" w:rsidR="000E33EC" w:rsidRPr="00B97D44" w:rsidRDefault="000E33EC" w:rsidP="00B75FC5">
      <w:pPr>
        <w:autoSpaceDE w:val="0"/>
        <w:autoSpaceDN w:val="0"/>
        <w:adjustRightInd w:val="0"/>
        <w:jc w:val="both"/>
        <w:rPr>
          <w:rFonts w:eastAsia="Calibri"/>
          <w:iCs/>
          <w:lang w:eastAsia="en-US"/>
        </w:rPr>
      </w:pPr>
    </w:p>
    <w:p w14:paraId="150A1773" w14:textId="77777777" w:rsidR="000E33EC" w:rsidRPr="00B97D44" w:rsidRDefault="000E33EC" w:rsidP="00B75FC5">
      <w:pPr>
        <w:autoSpaceDE w:val="0"/>
        <w:autoSpaceDN w:val="0"/>
        <w:adjustRightInd w:val="0"/>
        <w:jc w:val="both"/>
        <w:rPr>
          <w:rFonts w:eastAsia="Calibri"/>
          <w:lang w:val="en-US" w:eastAsia="en-US"/>
        </w:rPr>
      </w:pPr>
      <w:r w:rsidRPr="00B97D44">
        <w:rPr>
          <w:rFonts w:eastAsia="Calibri"/>
          <w:iCs/>
          <w:lang w:eastAsia="en-US"/>
        </w:rPr>
        <w:t>LIMA, A.F. e LIMA, J.F. de J.</w:t>
      </w:r>
      <w:r w:rsidR="00B26AC0" w:rsidRPr="00B97D44">
        <w:rPr>
          <w:rFonts w:eastAsia="Calibri"/>
          <w:iCs/>
          <w:lang w:eastAsia="en-US"/>
        </w:rPr>
        <w:t xml:space="preserve"> </w:t>
      </w:r>
      <w:r w:rsidRPr="00B97D44">
        <w:rPr>
          <w:rFonts w:eastAsia="Calibri"/>
          <w:b/>
          <w:lang w:eastAsia="en-US"/>
        </w:rPr>
        <w:t xml:space="preserve">UTILIZAÇÃO MEDICINAL DO ÓLEO DE COPAÍBA: </w:t>
      </w:r>
      <w:r w:rsidRPr="00B97D44">
        <w:rPr>
          <w:rFonts w:eastAsia="Calibri"/>
          <w:b/>
          <w:i/>
          <w:iCs/>
          <w:lang w:eastAsia="en-US"/>
        </w:rPr>
        <w:t>aspectos históricos e estudos atuais.</w:t>
      </w:r>
      <w:r w:rsidR="00B26AC0" w:rsidRPr="00B97D44">
        <w:rPr>
          <w:rFonts w:eastAsia="Calibri"/>
          <w:b/>
          <w:i/>
          <w:iCs/>
          <w:lang w:eastAsia="en-US"/>
        </w:rPr>
        <w:t xml:space="preserve"> </w:t>
      </w:r>
      <w:r w:rsidRPr="00B97D44">
        <w:rPr>
          <w:rFonts w:eastAsia="Calibri"/>
          <w:lang w:eastAsia="en-US"/>
        </w:rPr>
        <w:t xml:space="preserve">Pós em revista do Centro Universitário Newton Paiva. e. 5, ISSN 2176 7785. </w:t>
      </w:r>
      <w:r w:rsidRPr="00B97D44">
        <w:rPr>
          <w:rFonts w:eastAsia="Calibri"/>
          <w:lang w:val="en-US" w:eastAsia="en-US"/>
        </w:rPr>
        <w:t>2012</w:t>
      </w:r>
    </w:p>
    <w:p w14:paraId="3F324FE0" w14:textId="77777777" w:rsidR="00FE0417" w:rsidRPr="00B97D44" w:rsidRDefault="00FE0417" w:rsidP="00B75FC5">
      <w:pPr>
        <w:autoSpaceDE w:val="0"/>
        <w:autoSpaceDN w:val="0"/>
        <w:adjustRightInd w:val="0"/>
        <w:jc w:val="both"/>
        <w:rPr>
          <w:rFonts w:eastAsia="Calibri"/>
          <w:lang w:val="en-US" w:eastAsia="en-US"/>
        </w:rPr>
      </w:pPr>
    </w:p>
    <w:p w14:paraId="082F0797" w14:textId="77777777" w:rsidR="00FE0417" w:rsidRPr="00B97D44" w:rsidRDefault="00FE0417" w:rsidP="00B75FC5">
      <w:pPr>
        <w:jc w:val="both"/>
      </w:pPr>
      <w:r w:rsidRPr="00B97D44">
        <w:rPr>
          <w:bCs/>
        </w:rPr>
        <w:t xml:space="preserve">OLIVO, C.J.; AGNOLIN, A.; PARRA, C.L.C.; VOGEL, F.S.F.; RICHARDS, N.S.P. PELLEGRINI, L.G.; PIVOTO, F.; ARAUJO, L. </w:t>
      </w:r>
      <w:r w:rsidRPr="00B97D44">
        <w:rPr>
          <w:b/>
          <w:bCs/>
        </w:rPr>
        <w:t xml:space="preserve">Efeito do óleo de eucalipto </w:t>
      </w:r>
      <w:r w:rsidRPr="00B97D44">
        <w:rPr>
          <w:b/>
        </w:rPr>
        <w:t>(</w:t>
      </w:r>
      <w:proofErr w:type="spellStart"/>
      <w:r w:rsidRPr="00B97D44">
        <w:rPr>
          <w:b/>
          <w:bCs/>
          <w:i/>
          <w:iCs/>
        </w:rPr>
        <w:t>Corymbia</w:t>
      </w:r>
      <w:proofErr w:type="spellEnd"/>
      <w:r w:rsidR="00B26AC0" w:rsidRPr="00B97D44">
        <w:rPr>
          <w:b/>
          <w:bCs/>
          <w:i/>
          <w:iCs/>
        </w:rPr>
        <w:t xml:space="preserve"> </w:t>
      </w:r>
      <w:proofErr w:type="spellStart"/>
      <w:r w:rsidRPr="00B97D44">
        <w:rPr>
          <w:b/>
          <w:bCs/>
          <w:i/>
          <w:iCs/>
        </w:rPr>
        <w:t>citriodora</w:t>
      </w:r>
      <w:proofErr w:type="spellEnd"/>
      <w:r w:rsidRPr="00B97D44">
        <w:rPr>
          <w:b/>
        </w:rPr>
        <w:t xml:space="preserve">) </w:t>
      </w:r>
      <w:r w:rsidRPr="00B97D44">
        <w:rPr>
          <w:b/>
          <w:bCs/>
        </w:rPr>
        <w:t>no controle do carrapato bovino.</w:t>
      </w:r>
      <w:r w:rsidR="00B26AC0" w:rsidRPr="00B97D44">
        <w:rPr>
          <w:b/>
          <w:bCs/>
        </w:rPr>
        <w:t xml:space="preserve"> </w:t>
      </w:r>
      <w:r w:rsidRPr="00B97D44">
        <w:t>Ciência Rural. v.43. n.2. p.331-337. 2013.</w:t>
      </w:r>
    </w:p>
    <w:p w14:paraId="0F42DCB6" w14:textId="77777777" w:rsidR="00B75FC5" w:rsidRPr="00B97D44" w:rsidRDefault="00B75FC5" w:rsidP="00B75FC5">
      <w:pPr>
        <w:jc w:val="both"/>
      </w:pPr>
    </w:p>
    <w:p w14:paraId="1319F615" w14:textId="77777777" w:rsidR="00B75FC5" w:rsidRPr="00B97D44" w:rsidRDefault="00B75FC5" w:rsidP="00B75FC5">
      <w:pPr>
        <w:jc w:val="both"/>
      </w:pPr>
      <w:r w:rsidRPr="00B97D44">
        <w:t xml:space="preserve">PALA, A.C.T.; SALIN, C.T.; CORTEZ, L.E.R. </w:t>
      </w:r>
      <w:r w:rsidRPr="00B97D44">
        <w:rPr>
          <w:b/>
        </w:rPr>
        <w:t>CONTROLE DE QUALIDADE DE ÓLEOS ESSENCIAIS DE ALECRIM (</w:t>
      </w:r>
      <w:proofErr w:type="spellStart"/>
      <w:r w:rsidRPr="00B97D44">
        <w:rPr>
          <w:b/>
        </w:rPr>
        <w:t>Rosmarinum</w:t>
      </w:r>
      <w:proofErr w:type="spellEnd"/>
      <w:r w:rsidRPr="00B97D44">
        <w:rPr>
          <w:b/>
        </w:rPr>
        <w:t xml:space="preserve"> </w:t>
      </w:r>
      <w:proofErr w:type="spellStart"/>
      <w:r w:rsidRPr="00B97D44">
        <w:rPr>
          <w:b/>
        </w:rPr>
        <w:t>officinalis</w:t>
      </w:r>
      <w:proofErr w:type="spellEnd"/>
      <w:r w:rsidRPr="00B97D44">
        <w:rPr>
          <w:b/>
        </w:rPr>
        <w:t>) E LAVANDA (</w:t>
      </w:r>
      <w:proofErr w:type="spellStart"/>
      <w:r w:rsidRPr="00B97D44">
        <w:rPr>
          <w:b/>
        </w:rPr>
        <w:t>Lavandula</w:t>
      </w:r>
      <w:proofErr w:type="spellEnd"/>
      <w:r w:rsidRPr="00B97D44">
        <w:rPr>
          <w:b/>
        </w:rPr>
        <w:t xml:space="preserve"> </w:t>
      </w:r>
      <w:proofErr w:type="spellStart"/>
      <w:r w:rsidRPr="00B97D44">
        <w:rPr>
          <w:b/>
        </w:rPr>
        <w:t>augustifolia</w:t>
      </w:r>
      <w:proofErr w:type="spellEnd"/>
      <w:r w:rsidRPr="00B97D44">
        <w:rPr>
          <w:b/>
        </w:rPr>
        <w:t>) COMERCIALIZADOS EM FARMÁCIAS DE DISPENSAÇÃO</w:t>
      </w:r>
      <w:r w:rsidRPr="00B97D44">
        <w:t xml:space="preserve">. V Mostra Interna de Trabalhos de Iniciação Científica CESUMAR – Centro Universitário de Maringá </w:t>
      </w:r>
      <w:proofErr w:type="spellStart"/>
      <w:r w:rsidRPr="00B97D44">
        <w:t>Maringá</w:t>
      </w:r>
      <w:proofErr w:type="spellEnd"/>
      <w:r w:rsidRPr="00B97D44">
        <w:t xml:space="preserve"> – Paraná. 2010. Anais Eletrônico. ISBN 978-85-61091-69-9. </w:t>
      </w:r>
    </w:p>
    <w:p w14:paraId="66022D70" w14:textId="77777777" w:rsidR="00B75FC5" w:rsidRPr="00B97D44" w:rsidRDefault="00B75FC5" w:rsidP="00B75FC5">
      <w:pPr>
        <w:jc w:val="both"/>
      </w:pPr>
    </w:p>
    <w:p w14:paraId="7C960929" w14:textId="77777777" w:rsidR="00B75FC5" w:rsidRPr="00B97D44" w:rsidRDefault="00B75FC5" w:rsidP="00B75FC5">
      <w:pPr>
        <w:jc w:val="both"/>
        <w:rPr>
          <w:shd w:val="clear" w:color="auto" w:fill="99FFCC"/>
        </w:rPr>
      </w:pPr>
      <w:r w:rsidRPr="00B97D44">
        <w:t xml:space="preserve">PEREIRA, C.M.S.P. </w:t>
      </w:r>
      <w:r w:rsidRPr="00B97D44">
        <w:rPr>
          <w:b/>
        </w:rPr>
        <w:t>INVESTIGAÇÃO DE TÉCNICAS DE CONTROLO DE FRAUDES NO ÂMBITO DO COMÉRCIO DE PLANTAS MEDICINAIS E AROMÁTICAS.</w:t>
      </w:r>
      <w:r w:rsidRPr="00B97D44">
        <w:t xml:space="preserve"> 2012. 80 p. Dissertação -Faculdade de Farmácia da Universidade de Coimbra, Instituto Politécnico de Santarém- Escola Superior Agrária de Santarém. </w:t>
      </w:r>
    </w:p>
    <w:p w14:paraId="22EA642E" w14:textId="77777777" w:rsidR="00B75FC5" w:rsidRPr="00B97D44" w:rsidRDefault="00B75FC5" w:rsidP="00B75FC5">
      <w:pPr>
        <w:jc w:val="both"/>
        <w:rPr>
          <w:shd w:val="clear" w:color="auto" w:fill="99FFCC"/>
        </w:rPr>
      </w:pPr>
    </w:p>
    <w:p w14:paraId="1511FCF9" w14:textId="77777777" w:rsidR="000E33EC" w:rsidRPr="00B97D44" w:rsidRDefault="000E33EC" w:rsidP="00B75FC5">
      <w:pPr>
        <w:autoSpaceDE w:val="0"/>
        <w:autoSpaceDN w:val="0"/>
        <w:adjustRightInd w:val="0"/>
        <w:jc w:val="both"/>
        <w:rPr>
          <w:rFonts w:eastAsia="Calibri"/>
          <w:iCs/>
          <w:lang w:eastAsia="en-US"/>
        </w:rPr>
      </w:pPr>
      <w:r w:rsidRPr="00B97D44">
        <w:rPr>
          <w:rFonts w:eastAsia="Calibri"/>
          <w:lang w:eastAsia="en-US"/>
        </w:rPr>
        <w:t xml:space="preserve">RIBAS, J. e CARREÑO, A.M. </w:t>
      </w:r>
      <w:r w:rsidRPr="00B97D44">
        <w:rPr>
          <w:rFonts w:eastAsia="Calibri"/>
          <w:b/>
          <w:lang w:eastAsia="en-US"/>
        </w:rPr>
        <w:t>Avaliação do uso de repelentes contra picada de mosquitos em militares na Bacia Amazônica.</w:t>
      </w:r>
      <w:r w:rsidR="00B26AC0" w:rsidRPr="00B97D44">
        <w:rPr>
          <w:rFonts w:eastAsia="Calibri"/>
          <w:b/>
          <w:lang w:eastAsia="en-US"/>
        </w:rPr>
        <w:t xml:space="preserve"> </w:t>
      </w:r>
      <w:r w:rsidRPr="00B97D44">
        <w:rPr>
          <w:rFonts w:eastAsia="Calibri"/>
          <w:iCs/>
          <w:lang w:eastAsia="en-US"/>
        </w:rPr>
        <w:t>Anais Brasileiros de Dermatologia. v. 85(1). p. 33-8. 2010</w:t>
      </w:r>
    </w:p>
    <w:p w14:paraId="6E22A223" w14:textId="77777777" w:rsidR="009764D1" w:rsidRPr="00B97D44" w:rsidRDefault="009764D1" w:rsidP="00B75FC5">
      <w:pPr>
        <w:jc w:val="both"/>
      </w:pPr>
    </w:p>
    <w:p w14:paraId="41B31612" w14:textId="77777777" w:rsidR="009764D1" w:rsidRPr="00B97D44" w:rsidRDefault="009764D1" w:rsidP="00B75FC5">
      <w:pPr>
        <w:autoSpaceDE w:val="0"/>
        <w:autoSpaceDN w:val="0"/>
        <w:adjustRightInd w:val="0"/>
        <w:jc w:val="both"/>
        <w:rPr>
          <w:rFonts w:eastAsia="Calibri"/>
          <w:lang w:eastAsia="en-US"/>
        </w:rPr>
      </w:pPr>
      <w:r w:rsidRPr="00B97D44">
        <w:rPr>
          <w:rFonts w:eastAsia="Calibri"/>
          <w:lang w:eastAsia="en-US"/>
        </w:rPr>
        <w:t xml:space="preserve">SOUSA, R.B.; SILVA, R.A.O.; MARQUES, L.G.A.;  MORAIS, L.S.; SANTOS, M.R. de M.C.; do Ó PESSOA, C. </w:t>
      </w:r>
      <w:r w:rsidRPr="00B97D44">
        <w:rPr>
          <w:rFonts w:eastAsia="Calibri"/>
          <w:b/>
          <w:bCs/>
          <w:lang w:eastAsia="en-US"/>
        </w:rPr>
        <w:t xml:space="preserve">APLICAÇÕES DO ÓLEO RESINA DE </w:t>
      </w:r>
      <w:proofErr w:type="spellStart"/>
      <w:r w:rsidRPr="00B97D44">
        <w:rPr>
          <w:rFonts w:eastAsia="Calibri"/>
          <w:b/>
          <w:bCs/>
          <w:i/>
          <w:iCs/>
          <w:lang w:eastAsia="en-US"/>
        </w:rPr>
        <w:t>Copaifera</w:t>
      </w:r>
      <w:proofErr w:type="spellEnd"/>
      <w:r w:rsidR="007860B8" w:rsidRPr="00B97D44">
        <w:rPr>
          <w:rFonts w:eastAsia="Calibri"/>
          <w:b/>
          <w:bCs/>
          <w:i/>
          <w:iCs/>
          <w:lang w:eastAsia="en-US"/>
        </w:rPr>
        <w:t xml:space="preserve"> </w:t>
      </w:r>
      <w:r w:rsidRPr="00B97D44">
        <w:rPr>
          <w:rFonts w:eastAsia="Calibri"/>
          <w:b/>
          <w:bCs/>
          <w:lang w:eastAsia="en-US"/>
        </w:rPr>
        <w:t xml:space="preserve">L. NA MEDICINA POPULAR: UMA PROSPECÇÃO TECNOLÓGICA </w:t>
      </w:r>
      <w:r w:rsidRPr="00B97D44">
        <w:rPr>
          <w:rFonts w:eastAsia="Calibri"/>
          <w:lang w:eastAsia="en-US"/>
        </w:rPr>
        <w:t>Revista GEINTEC. São Cristóvão/SE. v. 3. n. 1. p.144-15. ISSN: 2237-0722. 2012</w:t>
      </w:r>
    </w:p>
    <w:p w14:paraId="0E628609" w14:textId="77777777" w:rsidR="00CF26AB" w:rsidRPr="00B97D44" w:rsidRDefault="00CF26AB" w:rsidP="00B75FC5">
      <w:pPr>
        <w:autoSpaceDE w:val="0"/>
        <w:autoSpaceDN w:val="0"/>
        <w:adjustRightInd w:val="0"/>
        <w:jc w:val="both"/>
        <w:rPr>
          <w:rFonts w:eastAsia="Calibri"/>
          <w:b/>
          <w:bCs/>
          <w:lang w:eastAsia="en-US"/>
        </w:rPr>
      </w:pPr>
    </w:p>
    <w:p w14:paraId="74BCC468" w14:textId="77777777" w:rsidR="001617C2" w:rsidRPr="00B97D44" w:rsidRDefault="001617C2" w:rsidP="00B75FC5">
      <w:pPr>
        <w:autoSpaceDE w:val="0"/>
        <w:autoSpaceDN w:val="0"/>
        <w:adjustRightInd w:val="0"/>
        <w:jc w:val="both"/>
        <w:rPr>
          <w:rFonts w:eastAsia="TimesNewRomanPSMT"/>
          <w:iCs/>
          <w:lang w:eastAsia="en-US"/>
        </w:rPr>
      </w:pPr>
      <w:r w:rsidRPr="00B97D44">
        <w:rPr>
          <w:rFonts w:eastAsia="TimesNewRomanPSMT"/>
          <w:lang w:eastAsia="en-US"/>
        </w:rPr>
        <w:t xml:space="preserve">VEIGA JUNIOR, V.F. e PINTO, A.C. </w:t>
      </w:r>
      <w:r w:rsidRPr="00B97D44">
        <w:rPr>
          <w:rFonts w:eastAsia="TimesNewRomanPSMT"/>
          <w:b/>
          <w:lang w:eastAsia="en-US"/>
        </w:rPr>
        <w:t xml:space="preserve">PLANTAS MEDICINAIS: CURA </w:t>
      </w:r>
      <w:proofErr w:type="spellStart"/>
      <w:r w:rsidRPr="00B97D44">
        <w:rPr>
          <w:rFonts w:eastAsia="TimesNewRomanPSMT"/>
          <w:b/>
          <w:lang w:eastAsia="en-US"/>
        </w:rPr>
        <w:t>SEGURA?</w:t>
      </w:r>
      <w:r w:rsidRPr="00B97D44">
        <w:rPr>
          <w:rFonts w:eastAsia="TimesNewRomanPSMT"/>
          <w:iCs/>
          <w:lang w:eastAsia="en-US"/>
        </w:rPr>
        <w:t>Quim</w:t>
      </w:r>
      <w:proofErr w:type="spellEnd"/>
      <w:r w:rsidRPr="00B97D44">
        <w:rPr>
          <w:rFonts w:eastAsia="TimesNewRomanPSMT"/>
          <w:iCs/>
          <w:lang w:eastAsia="en-US"/>
        </w:rPr>
        <w:t xml:space="preserve"> Nova. v.28, n.3. p. 519-528. 2005</w:t>
      </w:r>
    </w:p>
    <w:p w14:paraId="08C7D261" w14:textId="77777777" w:rsidR="001617C2" w:rsidRPr="00B97D44" w:rsidRDefault="001617C2" w:rsidP="00B75FC5">
      <w:pPr>
        <w:autoSpaceDE w:val="0"/>
        <w:autoSpaceDN w:val="0"/>
        <w:adjustRightInd w:val="0"/>
        <w:jc w:val="both"/>
        <w:rPr>
          <w:rFonts w:eastAsia="Calibri"/>
          <w:b/>
          <w:bCs/>
          <w:lang w:eastAsia="en-US"/>
        </w:rPr>
      </w:pPr>
    </w:p>
    <w:p w14:paraId="74DE8BCE" w14:textId="77777777" w:rsidR="000E33EC" w:rsidRPr="00B97D44" w:rsidRDefault="000E33EC" w:rsidP="00B75FC5">
      <w:pPr>
        <w:autoSpaceDE w:val="0"/>
        <w:autoSpaceDN w:val="0"/>
        <w:adjustRightInd w:val="0"/>
        <w:jc w:val="both"/>
        <w:rPr>
          <w:rFonts w:eastAsia="TimesNewRomanPSMT"/>
          <w:lang w:eastAsia="en-US"/>
        </w:rPr>
      </w:pPr>
      <w:r w:rsidRPr="00B97D44">
        <w:rPr>
          <w:rFonts w:eastAsia="TimesNewRomanPSMT"/>
          <w:lang w:eastAsia="en-US"/>
        </w:rPr>
        <w:t xml:space="preserve">VEIGA JUNIOR, V.F. e PINTO, A.C. </w:t>
      </w:r>
      <w:r w:rsidRPr="00B97D44">
        <w:rPr>
          <w:rFonts w:eastAsia="TimesNewRomanPSMT"/>
          <w:b/>
          <w:lang w:eastAsia="en-US"/>
        </w:rPr>
        <w:t xml:space="preserve">O gênero </w:t>
      </w:r>
      <w:proofErr w:type="spellStart"/>
      <w:r w:rsidRPr="00B97D44">
        <w:rPr>
          <w:rFonts w:eastAsia="TimesNewRomanPSMT"/>
          <w:b/>
          <w:i/>
          <w:iCs/>
          <w:lang w:eastAsia="en-US"/>
        </w:rPr>
        <w:t>Copaifera</w:t>
      </w:r>
      <w:proofErr w:type="spellEnd"/>
      <w:r w:rsidR="00B26AC0" w:rsidRPr="00B97D44">
        <w:rPr>
          <w:rFonts w:eastAsia="TimesNewRomanPSMT"/>
          <w:b/>
          <w:i/>
          <w:iCs/>
          <w:lang w:eastAsia="en-US"/>
        </w:rPr>
        <w:t xml:space="preserve"> </w:t>
      </w:r>
      <w:r w:rsidRPr="00B97D44">
        <w:rPr>
          <w:rFonts w:eastAsia="TimesNewRomanPSMT"/>
          <w:b/>
          <w:lang w:eastAsia="en-US"/>
        </w:rPr>
        <w:t>L.</w:t>
      </w:r>
      <w:r w:rsidR="00B26AC0" w:rsidRPr="00B97D44">
        <w:rPr>
          <w:rFonts w:eastAsia="TimesNewRomanPSMT"/>
          <w:b/>
          <w:lang w:eastAsia="en-US"/>
        </w:rPr>
        <w:t xml:space="preserve"> </w:t>
      </w:r>
      <w:r w:rsidRPr="00B97D44">
        <w:rPr>
          <w:rFonts w:eastAsia="TimesNewRomanPSMT"/>
          <w:iCs/>
          <w:lang w:eastAsia="en-US"/>
        </w:rPr>
        <w:t>Quim Nova. v. 25</w:t>
      </w:r>
      <w:r w:rsidRPr="00B97D44">
        <w:rPr>
          <w:rFonts w:eastAsia="TimesNewRomanPSMT"/>
          <w:lang w:eastAsia="en-US"/>
        </w:rPr>
        <w:t>. n. 2. p. 273-286. 2002</w:t>
      </w:r>
    </w:p>
    <w:p w14:paraId="18A6635C" w14:textId="77777777" w:rsidR="001617C2" w:rsidRPr="00B97D44" w:rsidRDefault="001617C2" w:rsidP="00B75FC5">
      <w:pPr>
        <w:autoSpaceDE w:val="0"/>
        <w:autoSpaceDN w:val="0"/>
        <w:adjustRightInd w:val="0"/>
        <w:jc w:val="both"/>
        <w:rPr>
          <w:rFonts w:eastAsia="TimesNewRomanPSMT"/>
          <w:lang w:eastAsia="en-US"/>
        </w:rPr>
      </w:pPr>
    </w:p>
    <w:p w14:paraId="423E8E46" w14:textId="77777777" w:rsidR="004262A7" w:rsidRPr="00B75FC5" w:rsidRDefault="00B26AC0" w:rsidP="002A46D4">
      <w:pPr>
        <w:autoSpaceDE w:val="0"/>
        <w:autoSpaceDN w:val="0"/>
        <w:adjustRightInd w:val="0"/>
        <w:jc w:val="both"/>
      </w:pPr>
      <w:r w:rsidRPr="00B97D44">
        <w:rPr>
          <w:lang w:val="en-US"/>
        </w:rPr>
        <w:t xml:space="preserve">VOLPATO, A.; GROSSKOP, R. K.; SANTOS, R. C.;  VAUCHER, R. A.; RAFFIN, R. P.; BOLIGON, A. A.; ATHAYDE, M. L.; STEFANI, L. M. e  SILVA, A. S. </w:t>
      </w:r>
      <w:r w:rsidRPr="00B97D44">
        <w:rPr>
          <w:b/>
          <w:bCs/>
          <w:lang w:val="en-US"/>
        </w:rPr>
        <w:t xml:space="preserve">Influence of rosemary, </w:t>
      </w:r>
      <w:proofErr w:type="spellStart"/>
      <w:r w:rsidRPr="00B97D44">
        <w:rPr>
          <w:b/>
          <w:bCs/>
          <w:lang w:val="en-US"/>
        </w:rPr>
        <w:t>andiroba</w:t>
      </w:r>
      <w:proofErr w:type="spellEnd"/>
      <w:r w:rsidRPr="00B97D44">
        <w:rPr>
          <w:b/>
          <w:bCs/>
          <w:lang w:val="en-US"/>
        </w:rPr>
        <w:t xml:space="preserve"> and copaiba essential oils on different stages of the biological cycle of the tick </w:t>
      </w:r>
      <w:proofErr w:type="spellStart"/>
      <w:r w:rsidRPr="00B97D44">
        <w:rPr>
          <w:b/>
          <w:bCs/>
          <w:i/>
          <w:lang w:val="en-US"/>
        </w:rPr>
        <w:t>Rhipicephalus</w:t>
      </w:r>
      <w:proofErr w:type="spellEnd"/>
      <w:r w:rsidRPr="00B97D44">
        <w:rPr>
          <w:b/>
          <w:bCs/>
          <w:i/>
          <w:lang w:val="en-US"/>
        </w:rPr>
        <w:t xml:space="preserve"> </w:t>
      </w:r>
      <w:proofErr w:type="spellStart"/>
      <w:r w:rsidRPr="00B97D44">
        <w:rPr>
          <w:b/>
          <w:bCs/>
          <w:i/>
          <w:lang w:val="en-US"/>
        </w:rPr>
        <w:t>microplus</w:t>
      </w:r>
      <w:proofErr w:type="spellEnd"/>
      <w:r w:rsidRPr="00B97D44">
        <w:rPr>
          <w:b/>
          <w:bCs/>
          <w:lang w:val="en-US"/>
        </w:rPr>
        <w:t xml:space="preserve"> in vitro. </w:t>
      </w:r>
      <w:proofErr w:type="spellStart"/>
      <w:r w:rsidRPr="00B97D44">
        <w:t>Journal</w:t>
      </w:r>
      <w:proofErr w:type="spellEnd"/>
      <w:r w:rsidRPr="00B97D44">
        <w:t xml:space="preserve"> </w:t>
      </w:r>
      <w:proofErr w:type="spellStart"/>
      <w:r w:rsidRPr="00B97D44">
        <w:t>of</w:t>
      </w:r>
      <w:proofErr w:type="spellEnd"/>
      <w:r w:rsidRPr="00B97D44">
        <w:t xml:space="preserve"> </w:t>
      </w:r>
      <w:proofErr w:type="spellStart"/>
      <w:r w:rsidRPr="00B97D44">
        <w:t>Essential</w:t>
      </w:r>
      <w:proofErr w:type="spellEnd"/>
      <w:r w:rsidRPr="00B97D44">
        <w:t xml:space="preserve"> </w:t>
      </w:r>
      <w:proofErr w:type="spellStart"/>
      <w:r w:rsidRPr="00B97D44">
        <w:t>Oil</w:t>
      </w:r>
      <w:proofErr w:type="spellEnd"/>
      <w:r w:rsidRPr="00B97D44">
        <w:t xml:space="preserve"> Research, 2015.</w:t>
      </w:r>
    </w:p>
    <w:p w14:paraId="74E4E2B3" w14:textId="77777777" w:rsidR="004262A7" w:rsidRDefault="004262A7">
      <w:pPr>
        <w:ind w:left="851"/>
      </w:pPr>
    </w:p>
    <w:sectPr w:rsidR="004262A7" w:rsidSect="00B75C59">
      <w:pgSz w:w="11906" w:h="16838"/>
      <w:pgMar w:top="1418"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31AF"/>
    <w:multiLevelType w:val="multilevel"/>
    <w:tmpl w:val="A3A8F8C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5DD4B9D"/>
    <w:multiLevelType w:val="multilevel"/>
    <w:tmpl w:val="2164666A"/>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A7"/>
    <w:rsid w:val="00013DC8"/>
    <w:rsid w:val="00061E58"/>
    <w:rsid w:val="0007604C"/>
    <w:rsid w:val="000819CC"/>
    <w:rsid w:val="000E33EC"/>
    <w:rsid w:val="0010035E"/>
    <w:rsid w:val="00105A98"/>
    <w:rsid w:val="00131A54"/>
    <w:rsid w:val="001617C2"/>
    <w:rsid w:val="00184E6A"/>
    <w:rsid w:val="001A19E7"/>
    <w:rsid w:val="001F5317"/>
    <w:rsid w:val="0024301B"/>
    <w:rsid w:val="002531AC"/>
    <w:rsid w:val="002A2770"/>
    <w:rsid w:val="002A46D4"/>
    <w:rsid w:val="00300BA9"/>
    <w:rsid w:val="00320098"/>
    <w:rsid w:val="00347E25"/>
    <w:rsid w:val="00374284"/>
    <w:rsid w:val="003E46C7"/>
    <w:rsid w:val="003E6CFA"/>
    <w:rsid w:val="00404783"/>
    <w:rsid w:val="00410FD8"/>
    <w:rsid w:val="0041289E"/>
    <w:rsid w:val="0042198C"/>
    <w:rsid w:val="004262A7"/>
    <w:rsid w:val="00427BCD"/>
    <w:rsid w:val="00457D60"/>
    <w:rsid w:val="00474B86"/>
    <w:rsid w:val="00480D2D"/>
    <w:rsid w:val="004D320D"/>
    <w:rsid w:val="005B03B3"/>
    <w:rsid w:val="005C7AF1"/>
    <w:rsid w:val="00621097"/>
    <w:rsid w:val="00660AA6"/>
    <w:rsid w:val="00661C60"/>
    <w:rsid w:val="006A6B34"/>
    <w:rsid w:val="006E1C3D"/>
    <w:rsid w:val="006F5859"/>
    <w:rsid w:val="00724556"/>
    <w:rsid w:val="0074030C"/>
    <w:rsid w:val="007860B8"/>
    <w:rsid w:val="00793578"/>
    <w:rsid w:val="007A1EBA"/>
    <w:rsid w:val="007A305F"/>
    <w:rsid w:val="007E7143"/>
    <w:rsid w:val="007F72AF"/>
    <w:rsid w:val="00813B88"/>
    <w:rsid w:val="00822449"/>
    <w:rsid w:val="00831B6B"/>
    <w:rsid w:val="008B17B7"/>
    <w:rsid w:val="00903B19"/>
    <w:rsid w:val="00924692"/>
    <w:rsid w:val="009259D9"/>
    <w:rsid w:val="00935FFC"/>
    <w:rsid w:val="009427CA"/>
    <w:rsid w:val="00952EB0"/>
    <w:rsid w:val="00974326"/>
    <w:rsid w:val="009764D1"/>
    <w:rsid w:val="00AD0A9E"/>
    <w:rsid w:val="00AD22DD"/>
    <w:rsid w:val="00AE3B76"/>
    <w:rsid w:val="00AF239C"/>
    <w:rsid w:val="00B26AC0"/>
    <w:rsid w:val="00B7442E"/>
    <w:rsid w:val="00B75C59"/>
    <w:rsid w:val="00B75FC5"/>
    <w:rsid w:val="00B97D44"/>
    <w:rsid w:val="00BC7F8E"/>
    <w:rsid w:val="00C063EA"/>
    <w:rsid w:val="00C14027"/>
    <w:rsid w:val="00C31B49"/>
    <w:rsid w:val="00C34B4C"/>
    <w:rsid w:val="00C40A95"/>
    <w:rsid w:val="00C821B7"/>
    <w:rsid w:val="00C937AC"/>
    <w:rsid w:val="00C96CD1"/>
    <w:rsid w:val="00CC3366"/>
    <w:rsid w:val="00CE65E2"/>
    <w:rsid w:val="00CF26AB"/>
    <w:rsid w:val="00D122A4"/>
    <w:rsid w:val="00D47F30"/>
    <w:rsid w:val="00D50622"/>
    <w:rsid w:val="00D632A4"/>
    <w:rsid w:val="00D6407A"/>
    <w:rsid w:val="00D6509C"/>
    <w:rsid w:val="00D93AA5"/>
    <w:rsid w:val="00DA1A7A"/>
    <w:rsid w:val="00DA46B4"/>
    <w:rsid w:val="00DB616E"/>
    <w:rsid w:val="00DC6971"/>
    <w:rsid w:val="00E02229"/>
    <w:rsid w:val="00E837C0"/>
    <w:rsid w:val="00E87965"/>
    <w:rsid w:val="00F03B26"/>
    <w:rsid w:val="00F31DAF"/>
    <w:rsid w:val="00FA1A26"/>
    <w:rsid w:val="00FB495C"/>
    <w:rsid w:val="00FC43C1"/>
    <w:rsid w:val="00FE041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F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5C59"/>
  </w:style>
  <w:style w:type="paragraph" w:styleId="Heading1">
    <w:name w:val="heading 1"/>
    <w:basedOn w:val="Normal"/>
    <w:next w:val="Normal"/>
    <w:rsid w:val="00B75C59"/>
    <w:pPr>
      <w:keepNext/>
      <w:keepLines/>
      <w:spacing w:before="480" w:after="120"/>
      <w:contextualSpacing/>
      <w:outlineLvl w:val="0"/>
    </w:pPr>
    <w:rPr>
      <w:b/>
      <w:sz w:val="48"/>
      <w:szCs w:val="48"/>
    </w:rPr>
  </w:style>
  <w:style w:type="paragraph" w:styleId="Heading2">
    <w:name w:val="heading 2"/>
    <w:basedOn w:val="Normal"/>
    <w:next w:val="Normal"/>
    <w:rsid w:val="00B75C59"/>
    <w:pPr>
      <w:keepNext/>
      <w:keepLines/>
      <w:spacing w:before="360" w:after="80"/>
      <w:contextualSpacing/>
      <w:outlineLvl w:val="1"/>
    </w:pPr>
    <w:rPr>
      <w:b/>
      <w:sz w:val="36"/>
      <w:szCs w:val="36"/>
    </w:rPr>
  </w:style>
  <w:style w:type="paragraph" w:styleId="Heading3">
    <w:name w:val="heading 3"/>
    <w:basedOn w:val="Normal"/>
    <w:next w:val="Normal"/>
    <w:rsid w:val="00B75C59"/>
    <w:pPr>
      <w:keepNext/>
      <w:keepLines/>
      <w:spacing w:before="280" w:after="80"/>
      <w:contextualSpacing/>
      <w:outlineLvl w:val="2"/>
    </w:pPr>
    <w:rPr>
      <w:b/>
      <w:sz w:val="28"/>
      <w:szCs w:val="28"/>
    </w:rPr>
  </w:style>
  <w:style w:type="paragraph" w:styleId="Heading4">
    <w:name w:val="heading 4"/>
    <w:basedOn w:val="Normal"/>
    <w:next w:val="Normal"/>
    <w:rsid w:val="00B75C59"/>
    <w:pPr>
      <w:keepNext/>
      <w:keepLines/>
      <w:spacing w:before="240" w:after="40"/>
      <w:contextualSpacing/>
      <w:outlineLvl w:val="3"/>
    </w:pPr>
    <w:rPr>
      <w:b/>
    </w:rPr>
  </w:style>
  <w:style w:type="paragraph" w:styleId="Heading5">
    <w:name w:val="heading 5"/>
    <w:basedOn w:val="Normal"/>
    <w:next w:val="Normal"/>
    <w:rsid w:val="00B75C59"/>
    <w:pPr>
      <w:keepNext/>
      <w:keepLines/>
      <w:spacing w:before="220" w:after="40"/>
      <w:contextualSpacing/>
      <w:outlineLvl w:val="4"/>
    </w:pPr>
    <w:rPr>
      <w:b/>
      <w:sz w:val="22"/>
      <w:szCs w:val="22"/>
    </w:rPr>
  </w:style>
  <w:style w:type="paragraph" w:styleId="Heading6">
    <w:name w:val="heading 6"/>
    <w:basedOn w:val="Normal"/>
    <w:next w:val="Normal"/>
    <w:rsid w:val="00B75C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75C59"/>
    <w:tblPr>
      <w:tblCellMar>
        <w:top w:w="0" w:type="dxa"/>
        <w:left w:w="0" w:type="dxa"/>
        <w:bottom w:w="0" w:type="dxa"/>
        <w:right w:w="0" w:type="dxa"/>
      </w:tblCellMar>
    </w:tblPr>
  </w:style>
  <w:style w:type="paragraph" w:styleId="Title">
    <w:name w:val="Title"/>
    <w:basedOn w:val="Normal"/>
    <w:next w:val="Normal"/>
    <w:rsid w:val="00B75C59"/>
    <w:pPr>
      <w:keepNext/>
      <w:keepLines/>
      <w:spacing w:before="480" w:after="120"/>
      <w:contextualSpacing/>
    </w:pPr>
    <w:rPr>
      <w:b/>
      <w:sz w:val="72"/>
      <w:szCs w:val="72"/>
    </w:rPr>
  </w:style>
  <w:style w:type="paragraph" w:styleId="Subtitle">
    <w:name w:val="Subtitle"/>
    <w:basedOn w:val="Normal"/>
    <w:next w:val="Normal"/>
    <w:rsid w:val="00B75C59"/>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B75C59"/>
    <w:tblPr>
      <w:tblStyleRowBandSize w:val="1"/>
      <w:tblStyleColBandSize w:val="1"/>
      <w:tblCellMar>
        <w:top w:w="0" w:type="dxa"/>
        <w:left w:w="115" w:type="dxa"/>
        <w:bottom w:w="0" w:type="dxa"/>
        <w:right w:w="115" w:type="dxa"/>
      </w:tblCellMar>
    </w:tblPr>
  </w:style>
  <w:style w:type="character" w:styleId="CommentReference">
    <w:name w:val="annotation reference"/>
    <w:uiPriority w:val="99"/>
    <w:semiHidden/>
    <w:unhideWhenUsed/>
    <w:rsid w:val="004D320D"/>
    <w:rPr>
      <w:sz w:val="16"/>
      <w:szCs w:val="16"/>
    </w:rPr>
  </w:style>
  <w:style w:type="character" w:customStyle="1" w:styleId="A13">
    <w:name w:val="A13"/>
    <w:uiPriority w:val="99"/>
    <w:rsid w:val="004D320D"/>
    <w:rPr>
      <w:rFonts w:cs="Myriad Pro Cond"/>
      <w:color w:val="000000"/>
      <w:sz w:val="23"/>
      <w:szCs w:val="23"/>
    </w:rPr>
  </w:style>
  <w:style w:type="paragraph" w:styleId="ListParagraph">
    <w:name w:val="List Paragraph"/>
    <w:basedOn w:val="Normal"/>
    <w:uiPriority w:val="34"/>
    <w:qFormat/>
    <w:rsid w:val="00013DC8"/>
    <w:pPr>
      <w:ind w:left="720"/>
      <w:contextualSpacing/>
    </w:pPr>
    <w:rPr>
      <w:color w:val="auto"/>
      <w:sz w:val="20"/>
      <w:szCs w:val="20"/>
    </w:rPr>
  </w:style>
  <w:style w:type="character" w:customStyle="1" w:styleId="A4">
    <w:name w:val="A4"/>
    <w:uiPriority w:val="99"/>
    <w:rsid w:val="009764D1"/>
    <w:rPr>
      <w:rFonts w:cs="Univers"/>
      <w:color w:val="000000"/>
      <w:sz w:val="16"/>
      <w:szCs w:val="16"/>
    </w:rPr>
  </w:style>
  <w:style w:type="character" w:customStyle="1" w:styleId="A3">
    <w:name w:val="A3"/>
    <w:uiPriority w:val="99"/>
    <w:rsid w:val="009764D1"/>
    <w:rPr>
      <w:rFonts w:cs="Myriad Pro Cond"/>
      <w:color w:val="000000"/>
      <w:sz w:val="20"/>
      <w:szCs w:val="20"/>
    </w:rPr>
  </w:style>
  <w:style w:type="character" w:customStyle="1" w:styleId="A9">
    <w:name w:val="A9"/>
    <w:uiPriority w:val="99"/>
    <w:rsid w:val="009764D1"/>
    <w:rPr>
      <w:rFonts w:cs="Myriad Pro Cond"/>
      <w:color w:val="000000"/>
      <w:sz w:val="110"/>
      <w:szCs w:val="110"/>
    </w:rPr>
  </w:style>
  <w:style w:type="character" w:customStyle="1" w:styleId="A1">
    <w:name w:val="A1"/>
    <w:uiPriority w:val="99"/>
    <w:rsid w:val="009764D1"/>
    <w:rPr>
      <w:rFonts w:cs="Book Antiqua"/>
      <w:color w:val="000000"/>
      <w:sz w:val="16"/>
      <w:szCs w:val="16"/>
    </w:rPr>
  </w:style>
  <w:style w:type="paragraph" w:styleId="BalloonText">
    <w:name w:val="Balloon Text"/>
    <w:basedOn w:val="Normal"/>
    <w:link w:val="BalloonTextChar"/>
    <w:uiPriority w:val="99"/>
    <w:semiHidden/>
    <w:unhideWhenUsed/>
    <w:rsid w:val="00457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D60"/>
    <w:rPr>
      <w:rFonts w:ascii="Lucida Grande" w:hAnsi="Lucida Grande" w:cs="Lucida Grande"/>
      <w:sz w:val="18"/>
      <w:szCs w:val="18"/>
    </w:rPr>
  </w:style>
  <w:style w:type="paragraph" w:customStyle="1" w:styleId="Default">
    <w:name w:val="Default"/>
    <w:rsid w:val="00C063EA"/>
    <w:pPr>
      <w:widowControl w:val="0"/>
      <w:autoSpaceDE w:val="0"/>
      <w:autoSpaceDN w:val="0"/>
      <w:adjustRightInd w:val="0"/>
    </w:pPr>
    <w:rPr>
      <w:rFonts w:ascii="Arial" w:hAnsi="Arial" w:cs="Arial"/>
      <w:lang w:val="en-US"/>
    </w:rPr>
  </w:style>
  <w:style w:type="paragraph" w:customStyle="1" w:styleId="IJHDRtext2column">
    <w:name w:val="IJHDR_text_2column"/>
    <w:basedOn w:val="Normal"/>
    <w:next w:val="Normal"/>
    <w:rsid w:val="00C34B4C"/>
    <w:pPr>
      <w:suppressAutoHyphens/>
      <w:spacing w:after="120"/>
      <w:jc w:val="both"/>
    </w:pPr>
    <w:rPr>
      <w:rFonts w:ascii="Century Schoolbook" w:hAnsi="Century Schoolbook"/>
      <w:color w:val="auto"/>
      <w:sz w:val="20"/>
      <w:lang w:val="en-US" w:eastAsia="ar-SA"/>
    </w:rPr>
  </w:style>
  <w:style w:type="character" w:customStyle="1" w:styleId="normaltextrun">
    <w:name w:val="normaltextrun"/>
    <w:basedOn w:val="DefaultParagraphFont"/>
    <w:rsid w:val="00C821B7"/>
  </w:style>
  <w:style w:type="character" w:customStyle="1" w:styleId="apple-converted-space">
    <w:name w:val="apple-converted-space"/>
    <w:basedOn w:val="DefaultParagraphFont"/>
    <w:rsid w:val="00C821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5C59"/>
  </w:style>
  <w:style w:type="paragraph" w:styleId="Heading1">
    <w:name w:val="heading 1"/>
    <w:basedOn w:val="Normal"/>
    <w:next w:val="Normal"/>
    <w:rsid w:val="00B75C59"/>
    <w:pPr>
      <w:keepNext/>
      <w:keepLines/>
      <w:spacing w:before="480" w:after="120"/>
      <w:contextualSpacing/>
      <w:outlineLvl w:val="0"/>
    </w:pPr>
    <w:rPr>
      <w:b/>
      <w:sz w:val="48"/>
      <w:szCs w:val="48"/>
    </w:rPr>
  </w:style>
  <w:style w:type="paragraph" w:styleId="Heading2">
    <w:name w:val="heading 2"/>
    <w:basedOn w:val="Normal"/>
    <w:next w:val="Normal"/>
    <w:rsid w:val="00B75C59"/>
    <w:pPr>
      <w:keepNext/>
      <w:keepLines/>
      <w:spacing w:before="360" w:after="80"/>
      <w:contextualSpacing/>
      <w:outlineLvl w:val="1"/>
    </w:pPr>
    <w:rPr>
      <w:b/>
      <w:sz w:val="36"/>
      <w:szCs w:val="36"/>
    </w:rPr>
  </w:style>
  <w:style w:type="paragraph" w:styleId="Heading3">
    <w:name w:val="heading 3"/>
    <w:basedOn w:val="Normal"/>
    <w:next w:val="Normal"/>
    <w:rsid w:val="00B75C59"/>
    <w:pPr>
      <w:keepNext/>
      <w:keepLines/>
      <w:spacing w:before="280" w:after="80"/>
      <w:contextualSpacing/>
      <w:outlineLvl w:val="2"/>
    </w:pPr>
    <w:rPr>
      <w:b/>
      <w:sz w:val="28"/>
      <w:szCs w:val="28"/>
    </w:rPr>
  </w:style>
  <w:style w:type="paragraph" w:styleId="Heading4">
    <w:name w:val="heading 4"/>
    <w:basedOn w:val="Normal"/>
    <w:next w:val="Normal"/>
    <w:rsid w:val="00B75C59"/>
    <w:pPr>
      <w:keepNext/>
      <w:keepLines/>
      <w:spacing w:before="240" w:after="40"/>
      <w:contextualSpacing/>
      <w:outlineLvl w:val="3"/>
    </w:pPr>
    <w:rPr>
      <w:b/>
    </w:rPr>
  </w:style>
  <w:style w:type="paragraph" w:styleId="Heading5">
    <w:name w:val="heading 5"/>
    <w:basedOn w:val="Normal"/>
    <w:next w:val="Normal"/>
    <w:rsid w:val="00B75C59"/>
    <w:pPr>
      <w:keepNext/>
      <w:keepLines/>
      <w:spacing w:before="220" w:after="40"/>
      <w:contextualSpacing/>
      <w:outlineLvl w:val="4"/>
    </w:pPr>
    <w:rPr>
      <w:b/>
      <w:sz w:val="22"/>
      <w:szCs w:val="22"/>
    </w:rPr>
  </w:style>
  <w:style w:type="paragraph" w:styleId="Heading6">
    <w:name w:val="heading 6"/>
    <w:basedOn w:val="Normal"/>
    <w:next w:val="Normal"/>
    <w:rsid w:val="00B75C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75C59"/>
    <w:tblPr>
      <w:tblCellMar>
        <w:top w:w="0" w:type="dxa"/>
        <w:left w:w="0" w:type="dxa"/>
        <w:bottom w:w="0" w:type="dxa"/>
        <w:right w:w="0" w:type="dxa"/>
      </w:tblCellMar>
    </w:tblPr>
  </w:style>
  <w:style w:type="paragraph" w:styleId="Title">
    <w:name w:val="Title"/>
    <w:basedOn w:val="Normal"/>
    <w:next w:val="Normal"/>
    <w:rsid w:val="00B75C59"/>
    <w:pPr>
      <w:keepNext/>
      <w:keepLines/>
      <w:spacing w:before="480" w:after="120"/>
      <w:contextualSpacing/>
    </w:pPr>
    <w:rPr>
      <w:b/>
      <w:sz w:val="72"/>
      <w:szCs w:val="72"/>
    </w:rPr>
  </w:style>
  <w:style w:type="paragraph" w:styleId="Subtitle">
    <w:name w:val="Subtitle"/>
    <w:basedOn w:val="Normal"/>
    <w:next w:val="Normal"/>
    <w:rsid w:val="00B75C59"/>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B75C59"/>
    <w:tblPr>
      <w:tblStyleRowBandSize w:val="1"/>
      <w:tblStyleColBandSize w:val="1"/>
      <w:tblCellMar>
        <w:top w:w="0" w:type="dxa"/>
        <w:left w:w="115" w:type="dxa"/>
        <w:bottom w:w="0" w:type="dxa"/>
        <w:right w:w="115" w:type="dxa"/>
      </w:tblCellMar>
    </w:tblPr>
  </w:style>
  <w:style w:type="character" w:styleId="CommentReference">
    <w:name w:val="annotation reference"/>
    <w:uiPriority w:val="99"/>
    <w:semiHidden/>
    <w:unhideWhenUsed/>
    <w:rsid w:val="004D320D"/>
    <w:rPr>
      <w:sz w:val="16"/>
      <w:szCs w:val="16"/>
    </w:rPr>
  </w:style>
  <w:style w:type="character" w:customStyle="1" w:styleId="A13">
    <w:name w:val="A13"/>
    <w:uiPriority w:val="99"/>
    <w:rsid w:val="004D320D"/>
    <w:rPr>
      <w:rFonts w:cs="Myriad Pro Cond"/>
      <w:color w:val="000000"/>
      <w:sz w:val="23"/>
      <w:szCs w:val="23"/>
    </w:rPr>
  </w:style>
  <w:style w:type="paragraph" w:styleId="ListParagraph">
    <w:name w:val="List Paragraph"/>
    <w:basedOn w:val="Normal"/>
    <w:uiPriority w:val="34"/>
    <w:qFormat/>
    <w:rsid w:val="00013DC8"/>
    <w:pPr>
      <w:ind w:left="720"/>
      <w:contextualSpacing/>
    </w:pPr>
    <w:rPr>
      <w:color w:val="auto"/>
      <w:sz w:val="20"/>
      <w:szCs w:val="20"/>
    </w:rPr>
  </w:style>
  <w:style w:type="character" w:customStyle="1" w:styleId="A4">
    <w:name w:val="A4"/>
    <w:uiPriority w:val="99"/>
    <w:rsid w:val="009764D1"/>
    <w:rPr>
      <w:rFonts w:cs="Univers"/>
      <w:color w:val="000000"/>
      <w:sz w:val="16"/>
      <w:szCs w:val="16"/>
    </w:rPr>
  </w:style>
  <w:style w:type="character" w:customStyle="1" w:styleId="A3">
    <w:name w:val="A3"/>
    <w:uiPriority w:val="99"/>
    <w:rsid w:val="009764D1"/>
    <w:rPr>
      <w:rFonts w:cs="Myriad Pro Cond"/>
      <w:color w:val="000000"/>
      <w:sz w:val="20"/>
      <w:szCs w:val="20"/>
    </w:rPr>
  </w:style>
  <w:style w:type="character" w:customStyle="1" w:styleId="A9">
    <w:name w:val="A9"/>
    <w:uiPriority w:val="99"/>
    <w:rsid w:val="009764D1"/>
    <w:rPr>
      <w:rFonts w:cs="Myriad Pro Cond"/>
      <w:color w:val="000000"/>
      <w:sz w:val="110"/>
      <w:szCs w:val="110"/>
    </w:rPr>
  </w:style>
  <w:style w:type="character" w:customStyle="1" w:styleId="A1">
    <w:name w:val="A1"/>
    <w:uiPriority w:val="99"/>
    <w:rsid w:val="009764D1"/>
    <w:rPr>
      <w:rFonts w:cs="Book Antiqua"/>
      <w:color w:val="000000"/>
      <w:sz w:val="16"/>
      <w:szCs w:val="16"/>
    </w:rPr>
  </w:style>
  <w:style w:type="paragraph" w:styleId="BalloonText">
    <w:name w:val="Balloon Text"/>
    <w:basedOn w:val="Normal"/>
    <w:link w:val="BalloonTextChar"/>
    <w:uiPriority w:val="99"/>
    <w:semiHidden/>
    <w:unhideWhenUsed/>
    <w:rsid w:val="00457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D60"/>
    <w:rPr>
      <w:rFonts w:ascii="Lucida Grande" w:hAnsi="Lucida Grande" w:cs="Lucida Grande"/>
      <w:sz w:val="18"/>
      <w:szCs w:val="18"/>
    </w:rPr>
  </w:style>
  <w:style w:type="paragraph" w:customStyle="1" w:styleId="Default">
    <w:name w:val="Default"/>
    <w:rsid w:val="00C063EA"/>
    <w:pPr>
      <w:widowControl w:val="0"/>
      <w:autoSpaceDE w:val="0"/>
      <w:autoSpaceDN w:val="0"/>
      <w:adjustRightInd w:val="0"/>
    </w:pPr>
    <w:rPr>
      <w:rFonts w:ascii="Arial" w:hAnsi="Arial" w:cs="Arial"/>
      <w:lang w:val="en-US"/>
    </w:rPr>
  </w:style>
  <w:style w:type="paragraph" w:customStyle="1" w:styleId="IJHDRtext2column">
    <w:name w:val="IJHDR_text_2column"/>
    <w:basedOn w:val="Normal"/>
    <w:next w:val="Normal"/>
    <w:rsid w:val="00C34B4C"/>
    <w:pPr>
      <w:suppressAutoHyphens/>
      <w:spacing w:after="120"/>
      <w:jc w:val="both"/>
    </w:pPr>
    <w:rPr>
      <w:rFonts w:ascii="Century Schoolbook" w:hAnsi="Century Schoolbook"/>
      <w:color w:val="auto"/>
      <w:sz w:val="20"/>
      <w:lang w:val="en-US" w:eastAsia="ar-SA"/>
    </w:rPr>
  </w:style>
  <w:style w:type="character" w:customStyle="1" w:styleId="normaltextrun">
    <w:name w:val="normaltextrun"/>
    <w:basedOn w:val="DefaultParagraphFont"/>
    <w:rsid w:val="00C821B7"/>
  </w:style>
  <w:style w:type="character" w:customStyle="1" w:styleId="apple-converted-space">
    <w:name w:val="apple-converted-space"/>
    <w:basedOn w:val="DefaultParagraphFont"/>
    <w:rsid w:val="00C8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68100">
      <w:bodyDiv w:val="1"/>
      <w:marLeft w:val="0"/>
      <w:marRight w:val="0"/>
      <w:marTop w:val="0"/>
      <w:marBottom w:val="0"/>
      <w:divBdr>
        <w:top w:val="none" w:sz="0" w:space="0" w:color="auto"/>
        <w:left w:val="none" w:sz="0" w:space="0" w:color="auto"/>
        <w:bottom w:val="none" w:sz="0" w:space="0" w:color="auto"/>
        <w:right w:val="none" w:sz="0" w:space="0" w:color="auto"/>
      </w:divBdr>
    </w:div>
    <w:div w:id="2064671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Nova%20pasta\tcc%20copa&#237;ba\TCC%20COPA&#205;BA%20(17.06)\resultados\GR&#193;FICO%20tele&#243;ginas%20mortas%20%25%20(30.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Nova%20pasta\tcc%20copa&#237;ba\TCC%20COPA&#205;BA%20(17.06)\resultados\GR&#193;FICO%20ovipostura%20%25%20(30.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sz="1200"/>
              <a:t>Gráfico</a:t>
            </a:r>
            <a:r>
              <a:rPr lang="pt-BR" sz="1200" baseline="0"/>
              <a:t> de Mortalidade Diária (%)</a:t>
            </a:r>
          </a:p>
        </c:rich>
      </c:tx>
      <c:layout>
        <c:manualLayout>
          <c:xMode val="edge"/>
          <c:yMode val="edge"/>
          <c:x val="0.251143009778645"/>
          <c:y val="0.0"/>
        </c:manualLayout>
      </c:layout>
      <c:overlay val="0"/>
      <c:spPr>
        <a:noFill/>
        <a:ln>
          <a:noFill/>
        </a:ln>
        <a:effectLst/>
      </c:spPr>
    </c:title>
    <c:autoTitleDeleted val="0"/>
    <c:plotArea>
      <c:layout>
        <c:manualLayout>
          <c:layoutTarget val="inner"/>
          <c:xMode val="edge"/>
          <c:yMode val="edge"/>
          <c:x val="0.0749499962022432"/>
          <c:y val="0.257862845712597"/>
          <c:w val="0.688185945260779"/>
          <c:h val="0.583269692772472"/>
        </c:manualLayout>
      </c:layout>
      <c:lineChart>
        <c:grouping val="standard"/>
        <c:varyColors val="0"/>
        <c:ser>
          <c:idx val="0"/>
          <c:order val="0"/>
          <c:tx>
            <c:strRef>
              <c:f>Plan1!$B$1</c:f>
              <c:strCache>
                <c:ptCount val="1"/>
                <c:pt idx="0">
                  <c:v>T1</c:v>
                </c:pt>
              </c:strCache>
            </c:strRef>
          </c:tx>
          <c:spPr>
            <a:ln w="28575" cap="rnd">
              <a:solidFill>
                <a:schemeClr val="bg2">
                  <a:lumMod val="75000"/>
                </a:schemeClr>
              </a:solidFill>
              <a:round/>
            </a:ln>
            <a:effectLst/>
          </c:spPr>
          <c:marker>
            <c:symbol val="diamond"/>
            <c:size val="7"/>
            <c:spPr>
              <a:solidFill>
                <a:schemeClr val="bg2">
                  <a:lumMod val="75000"/>
                </a:schemeClr>
              </a:solidFill>
              <a:ln w="9525">
                <a:solidFill>
                  <a:schemeClr val="bg2">
                    <a:lumMod val="75000"/>
                  </a:schemeClr>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Plan1!$B$2:$B$16</c:f>
              <c:numCache>
                <c:formatCode>0%</c:formatCode>
                <c:ptCount val="15"/>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numCache>
            </c:numRef>
          </c:val>
          <c:smooth val="0"/>
        </c:ser>
        <c:ser>
          <c:idx val="1"/>
          <c:order val="1"/>
          <c:tx>
            <c:strRef>
              <c:f>Plan1!$C$1</c:f>
              <c:strCache>
                <c:ptCount val="1"/>
                <c:pt idx="0">
                  <c:v>T2</c:v>
                </c:pt>
              </c:strCache>
            </c:strRef>
          </c:tx>
          <c:spPr>
            <a:ln w="28575" cap="rnd">
              <a:solidFill>
                <a:srgbClr val="FF0000"/>
              </a:solidFill>
              <a:round/>
            </a:ln>
            <a:effectLst/>
          </c:spPr>
          <c:marker>
            <c:symbol val="square"/>
            <c:size val="7"/>
            <c:spPr>
              <a:solidFill>
                <a:srgbClr val="FF0000"/>
              </a:solidFill>
              <a:ln w="9525">
                <a:solidFill>
                  <a:srgbClr val="FF0000"/>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Plan1!$C$2:$C$16</c:f>
              <c:numCache>
                <c:formatCode>0%</c:formatCode>
                <c:ptCount val="15"/>
                <c:pt idx="0">
                  <c:v>0.0</c:v>
                </c:pt>
                <c:pt idx="1">
                  <c:v>0.05</c:v>
                </c:pt>
                <c:pt idx="2">
                  <c:v>0.05</c:v>
                </c:pt>
                <c:pt idx="3">
                  <c:v>0.05</c:v>
                </c:pt>
                <c:pt idx="4">
                  <c:v>0.05</c:v>
                </c:pt>
                <c:pt idx="5">
                  <c:v>0.15</c:v>
                </c:pt>
                <c:pt idx="6">
                  <c:v>0.15</c:v>
                </c:pt>
                <c:pt idx="7">
                  <c:v>0.15</c:v>
                </c:pt>
                <c:pt idx="8">
                  <c:v>0.15</c:v>
                </c:pt>
                <c:pt idx="9">
                  <c:v>0.18</c:v>
                </c:pt>
                <c:pt idx="10">
                  <c:v>0.23</c:v>
                </c:pt>
                <c:pt idx="11">
                  <c:v>0.25</c:v>
                </c:pt>
                <c:pt idx="12">
                  <c:v>0.33</c:v>
                </c:pt>
                <c:pt idx="13">
                  <c:v>0.33</c:v>
                </c:pt>
                <c:pt idx="14">
                  <c:v>0.38</c:v>
                </c:pt>
              </c:numCache>
            </c:numRef>
          </c:val>
          <c:smooth val="0"/>
        </c:ser>
        <c:ser>
          <c:idx val="2"/>
          <c:order val="2"/>
          <c:tx>
            <c:strRef>
              <c:f>Plan1!$D$1</c:f>
              <c:strCache>
                <c:ptCount val="1"/>
                <c:pt idx="0">
                  <c:v>T3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Plan1!$D$2:$D$16</c:f>
              <c:numCache>
                <c:formatCode>0%</c:formatCode>
                <c:ptCount val="15"/>
                <c:pt idx="0">
                  <c:v>0.0</c:v>
                </c:pt>
                <c:pt idx="1">
                  <c:v>0.03</c:v>
                </c:pt>
                <c:pt idx="2">
                  <c:v>0.03</c:v>
                </c:pt>
                <c:pt idx="3">
                  <c:v>0.05</c:v>
                </c:pt>
                <c:pt idx="4">
                  <c:v>0.05</c:v>
                </c:pt>
                <c:pt idx="5">
                  <c:v>0.08</c:v>
                </c:pt>
                <c:pt idx="6">
                  <c:v>0.08</c:v>
                </c:pt>
                <c:pt idx="7">
                  <c:v>0.08</c:v>
                </c:pt>
                <c:pt idx="8">
                  <c:v>0.1</c:v>
                </c:pt>
                <c:pt idx="9">
                  <c:v>0.1</c:v>
                </c:pt>
                <c:pt idx="10">
                  <c:v>0.13</c:v>
                </c:pt>
                <c:pt idx="11">
                  <c:v>0.15</c:v>
                </c:pt>
                <c:pt idx="12">
                  <c:v>0.2</c:v>
                </c:pt>
                <c:pt idx="13">
                  <c:v>0.23</c:v>
                </c:pt>
                <c:pt idx="14">
                  <c:v>0.23</c:v>
                </c:pt>
              </c:numCache>
            </c:numRef>
          </c:val>
          <c:smooth val="0"/>
        </c:ser>
        <c:ser>
          <c:idx val="3"/>
          <c:order val="3"/>
          <c:tx>
            <c:strRef>
              <c:f>Plan1!$E$1</c:f>
              <c:strCache>
                <c:ptCount val="1"/>
                <c:pt idx="0">
                  <c:v>T4</c:v>
                </c:pt>
              </c:strCache>
            </c:strRef>
          </c:tx>
          <c:spPr>
            <a:ln w="28575" cap="rnd">
              <a:solidFill>
                <a:schemeClr val="accent4"/>
              </a:solidFill>
              <a:round/>
            </a:ln>
            <a:effectLst/>
          </c:spPr>
          <c:marker>
            <c:symbol val="plus"/>
            <c:size val="7"/>
            <c:spPr>
              <a:noFill/>
              <a:ln w="9525">
                <a:solidFill>
                  <a:schemeClr val="accent4"/>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Plan1!$E$2:$E$16</c:f>
              <c:numCache>
                <c:formatCode>0%</c:formatCode>
                <c:ptCount val="15"/>
                <c:pt idx="0">
                  <c:v>0.0</c:v>
                </c:pt>
                <c:pt idx="1">
                  <c:v>0.03</c:v>
                </c:pt>
                <c:pt idx="2">
                  <c:v>0.05</c:v>
                </c:pt>
                <c:pt idx="3">
                  <c:v>0.08</c:v>
                </c:pt>
                <c:pt idx="4">
                  <c:v>0.1</c:v>
                </c:pt>
                <c:pt idx="5">
                  <c:v>0.13</c:v>
                </c:pt>
                <c:pt idx="6">
                  <c:v>0.18</c:v>
                </c:pt>
                <c:pt idx="7">
                  <c:v>0.18</c:v>
                </c:pt>
                <c:pt idx="8">
                  <c:v>0.18</c:v>
                </c:pt>
                <c:pt idx="9">
                  <c:v>0.23</c:v>
                </c:pt>
                <c:pt idx="10">
                  <c:v>0.23</c:v>
                </c:pt>
                <c:pt idx="11">
                  <c:v>0.28</c:v>
                </c:pt>
                <c:pt idx="12">
                  <c:v>0.28</c:v>
                </c:pt>
                <c:pt idx="13">
                  <c:v>0.35</c:v>
                </c:pt>
                <c:pt idx="14">
                  <c:v>0.35</c:v>
                </c:pt>
              </c:numCache>
            </c:numRef>
          </c:val>
          <c:smooth val="0"/>
        </c:ser>
        <c:ser>
          <c:idx val="4"/>
          <c:order val="4"/>
          <c:tx>
            <c:strRef>
              <c:f>Plan1!$F$1</c:f>
              <c:strCache>
                <c:ptCount val="1"/>
                <c:pt idx="0">
                  <c:v>T5</c:v>
                </c:pt>
              </c:strCache>
            </c:strRef>
          </c:tx>
          <c:spPr>
            <a:ln w="28575" cap="rnd">
              <a:solidFill>
                <a:schemeClr val="accent5"/>
              </a:solidFill>
              <a:round/>
            </a:ln>
            <a:effectLst/>
          </c:spPr>
          <c:marker>
            <c:symbol val="star"/>
            <c:size val="7"/>
            <c:spPr>
              <a:noFill/>
              <a:ln w="9525">
                <a:solidFill>
                  <a:schemeClr val="accent5"/>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Plan1!$F$2:$F$16</c:f>
              <c:numCache>
                <c:formatCode>0%</c:formatCode>
                <c:ptCount val="15"/>
                <c:pt idx="0">
                  <c:v>0.0</c:v>
                </c:pt>
                <c:pt idx="1">
                  <c:v>0.03</c:v>
                </c:pt>
                <c:pt idx="2">
                  <c:v>0.05</c:v>
                </c:pt>
                <c:pt idx="3">
                  <c:v>0.05</c:v>
                </c:pt>
                <c:pt idx="4">
                  <c:v>0.05</c:v>
                </c:pt>
                <c:pt idx="5">
                  <c:v>0.05</c:v>
                </c:pt>
                <c:pt idx="6">
                  <c:v>0.08</c:v>
                </c:pt>
                <c:pt idx="7">
                  <c:v>0.13</c:v>
                </c:pt>
                <c:pt idx="8">
                  <c:v>0.13</c:v>
                </c:pt>
                <c:pt idx="9">
                  <c:v>0.15</c:v>
                </c:pt>
                <c:pt idx="10">
                  <c:v>0.15</c:v>
                </c:pt>
                <c:pt idx="11">
                  <c:v>0.18</c:v>
                </c:pt>
                <c:pt idx="12">
                  <c:v>0.18</c:v>
                </c:pt>
                <c:pt idx="13">
                  <c:v>0.2</c:v>
                </c:pt>
                <c:pt idx="14">
                  <c:v>0.2</c:v>
                </c:pt>
              </c:numCache>
            </c:numRef>
          </c:val>
          <c:smooth val="0"/>
        </c:ser>
        <c:ser>
          <c:idx val="5"/>
          <c:order val="5"/>
          <c:tx>
            <c:strRef>
              <c:f>Plan1!$G$1</c:f>
              <c:strCache>
                <c:ptCount val="1"/>
                <c:pt idx="0">
                  <c:v>T6</c:v>
                </c:pt>
              </c:strCache>
            </c:strRef>
          </c:tx>
          <c:spPr>
            <a:ln w="28575" cap="rnd">
              <a:solidFill>
                <a:schemeClr val="accent6"/>
              </a:solidFill>
              <a:round/>
            </a:ln>
            <a:effectLst/>
          </c:spPr>
          <c:marker>
            <c:symbol val="triangle"/>
            <c:size val="7"/>
            <c:spPr>
              <a:solidFill>
                <a:schemeClr val="accent6"/>
              </a:solidFill>
              <a:ln w="9525">
                <a:solidFill>
                  <a:schemeClr val="accent6"/>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Plan1!$G$2:$G$16</c:f>
              <c:numCache>
                <c:formatCode>0%</c:formatCode>
                <c:ptCount val="15"/>
                <c:pt idx="0">
                  <c:v>0.1</c:v>
                </c:pt>
                <c:pt idx="1">
                  <c:v>0.1</c:v>
                </c:pt>
                <c:pt idx="2">
                  <c:v>0.15</c:v>
                </c:pt>
                <c:pt idx="3">
                  <c:v>0.15</c:v>
                </c:pt>
                <c:pt idx="4">
                  <c:v>0.18</c:v>
                </c:pt>
                <c:pt idx="5">
                  <c:v>0.23</c:v>
                </c:pt>
                <c:pt idx="6">
                  <c:v>0.23</c:v>
                </c:pt>
                <c:pt idx="7">
                  <c:v>0.25</c:v>
                </c:pt>
                <c:pt idx="8">
                  <c:v>0.28</c:v>
                </c:pt>
                <c:pt idx="9">
                  <c:v>0.28</c:v>
                </c:pt>
                <c:pt idx="10">
                  <c:v>0.3</c:v>
                </c:pt>
                <c:pt idx="11">
                  <c:v>0.35</c:v>
                </c:pt>
                <c:pt idx="12">
                  <c:v>0.35</c:v>
                </c:pt>
                <c:pt idx="13">
                  <c:v>0.38</c:v>
                </c:pt>
                <c:pt idx="14">
                  <c:v>0.4</c:v>
                </c:pt>
              </c:numCache>
            </c:numRef>
          </c:val>
          <c:smooth val="0"/>
        </c:ser>
        <c:dLbls>
          <c:showLegendKey val="0"/>
          <c:showVal val="0"/>
          <c:showCatName val="0"/>
          <c:showSerName val="0"/>
          <c:showPercent val="0"/>
          <c:showBubbleSize val="0"/>
        </c:dLbls>
        <c:marker val="1"/>
        <c:smooth val="0"/>
        <c:axId val="2124688088"/>
        <c:axId val="2124693928"/>
      </c:lineChart>
      <c:catAx>
        <c:axId val="212468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693928"/>
        <c:crosses val="autoZero"/>
        <c:auto val="1"/>
        <c:lblAlgn val="ctr"/>
        <c:lblOffset val="100"/>
        <c:noMultiLvlLbl val="0"/>
      </c:catAx>
      <c:valAx>
        <c:axId val="2124693928"/>
        <c:scaling>
          <c:orientation val="minMax"/>
          <c:max val="1.0"/>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688088"/>
        <c:crosses val="autoZero"/>
        <c:crossBetween val="between"/>
        <c:minorUnit val="0.002"/>
      </c:valAx>
      <c:spPr>
        <a:noFill/>
        <a:ln>
          <a:noFill/>
        </a:ln>
        <a:effectLst/>
      </c:spPr>
    </c:plotArea>
    <c:legend>
      <c:legendPos val="b"/>
      <c:layout>
        <c:manualLayout>
          <c:xMode val="edge"/>
          <c:yMode val="edge"/>
          <c:x val="0.825343446242448"/>
          <c:y val="0.267187144059823"/>
          <c:w val="0.171674485571193"/>
          <c:h val="0.4994796587926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sz="1200"/>
              <a:t>Gráfico de Ovipostura Diária (%)</a:t>
            </a:r>
          </a:p>
        </c:rich>
      </c:tx>
      <c:layout>
        <c:manualLayout>
          <c:xMode val="edge"/>
          <c:yMode val="edge"/>
          <c:x val="0.265994158539293"/>
          <c:y val="0.0"/>
        </c:manualLayout>
      </c:layout>
      <c:overlay val="0"/>
      <c:spPr>
        <a:noFill/>
        <a:ln>
          <a:noFill/>
        </a:ln>
        <a:effectLst/>
      </c:spPr>
    </c:title>
    <c:autoTitleDeleted val="0"/>
    <c:plotArea>
      <c:layout>
        <c:manualLayout>
          <c:layoutTarget val="inner"/>
          <c:xMode val="edge"/>
          <c:yMode val="edge"/>
          <c:x val="0.0718774780811973"/>
          <c:y val="0.144375"/>
          <c:w val="0.775808154132577"/>
          <c:h val="0.752871820390482"/>
        </c:manualLayout>
      </c:layout>
      <c:lineChart>
        <c:grouping val="standard"/>
        <c:varyColors val="0"/>
        <c:ser>
          <c:idx val="0"/>
          <c:order val="0"/>
          <c:tx>
            <c:strRef>
              <c:f>Plan1!$B$1</c:f>
              <c:strCache>
                <c:ptCount val="1"/>
                <c:pt idx="0">
                  <c:v>T1</c:v>
                </c:pt>
              </c:strCache>
            </c:strRef>
          </c:tx>
          <c:spPr>
            <a:ln w="28575" cap="rnd">
              <a:solidFill>
                <a:schemeClr val="bg2">
                  <a:lumMod val="75000"/>
                </a:schemeClr>
              </a:solidFill>
              <a:round/>
            </a:ln>
            <a:effectLst/>
          </c:spPr>
          <c:marker>
            <c:symbol val="diamond"/>
            <c:size val="7"/>
            <c:spPr>
              <a:solidFill>
                <a:schemeClr val="bg2">
                  <a:lumMod val="75000"/>
                </a:schemeClr>
              </a:solidFill>
              <a:ln w="9525">
                <a:solidFill>
                  <a:schemeClr val="bg2">
                    <a:lumMod val="75000"/>
                  </a:schemeClr>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Plan1!$B$2:$B$16</c:f>
              <c:numCache>
                <c:formatCode>0%</c:formatCode>
                <c:ptCount val="15"/>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numCache>
            </c:numRef>
          </c:val>
          <c:smooth val="0"/>
        </c:ser>
        <c:ser>
          <c:idx val="1"/>
          <c:order val="1"/>
          <c:tx>
            <c:strRef>
              <c:f>Plan1!$C$1</c:f>
              <c:strCache>
                <c:ptCount val="1"/>
                <c:pt idx="0">
                  <c:v>T2</c:v>
                </c:pt>
              </c:strCache>
            </c:strRef>
          </c:tx>
          <c:spPr>
            <a:ln w="28575" cap="rnd">
              <a:solidFill>
                <a:srgbClr val="FF0000"/>
              </a:solidFill>
              <a:round/>
            </a:ln>
            <a:effectLst/>
          </c:spPr>
          <c:marker>
            <c:symbol val="square"/>
            <c:size val="7"/>
            <c:spPr>
              <a:solidFill>
                <a:srgbClr val="FF0000"/>
              </a:solidFill>
              <a:ln w="9525">
                <a:solidFill>
                  <a:srgbClr val="FF0000"/>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Plan1!$C$2:$C$16</c:f>
              <c:numCache>
                <c:formatCode>0%</c:formatCode>
                <c:ptCount val="15"/>
                <c:pt idx="0">
                  <c:v>0.0</c:v>
                </c:pt>
                <c:pt idx="1">
                  <c:v>0.3</c:v>
                </c:pt>
                <c:pt idx="2">
                  <c:v>0.43</c:v>
                </c:pt>
                <c:pt idx="3">
                  <c:v>0.48</c:v>
                </c:pt>
                <c:pt idx="4">
                  <c:v>0.5</c:v>
                </c:pt>
                <c:pt idx="5">
                  <c:v>0.5</c:v>
                </c:pt>
                <c:pt idx="6">
                  <c:v>0.5</c:v>
                </c:pt>
                <c:pt idx="7">
                  <c:v>0.5</c:v>
                </c:pt>
                <c:pt idx="8">
                  <c:v>0.5</c:v>
                </c:pt>
                <c:pt idx="9">
                  <c:v>0.5</c:v>
                </c:pt>
                <c:pt idx="10">
                  <c:v>0.5</c:v>
                </c:pt>
                <c:pt idx="11">
                  <c:v>0.5</c:v>
                </c:pt>
                <c:pt idx="12">
                  <c:v>0.5</c:v>
                </c:pt>
                <c:pt idx="13">
                  <c:v>0.5</c:v>
                </c:pt>
                <c:pt idx="14">
                  <c:v>0.5</c:v>
                </c:pt>
              </c:numCache>
            </c:numRef>
          </c:val>
          <c:smooth val="0"/>
        </c:ser>
        <c:ser>
          <c:idx val="2"/>
          <c:order val="2"/>
          <c:tx>
            <c:strRef>
              <c:f>Plan1!$D$1</c:f>
              <c:strCache>
                <c:ptCount val="1"/>
                <c:pt idx="0">
                  <c:v>T3</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Plan1!$D$2:$D$16</c:f>
              <c:numCache>
                <c:formatCode>0%</c:formatCode>
                <c:ptCount val="15"/>
                <c:pt idx="0">
                  <c:v>0.0</c:v>
                </c:pt>
                <c:pt idx="1">
                  <c:v>0.13</c:v>
                </c:pt>
                <c:pt idx="2">
                  <c:v>0.3</c:v>
                </c:pt>
                <c:pt idx="3">
                  <c:v>0.38</c:v>
                </c:pt>
                <c:pt idx="4">
                  <c:v>0.6</c:v>
                </c:pt>
                <c:pt idx="5">
                  <c:v>0.6</c:v>
                </c:pt>
                <c:pt idx="6">
                  <c:v>0.63</c:v>
                </c:pt>
                <c:pt idx="7">
                  <c:v>0.63</c:v>
                </c:pt>
                <c:pt idx="8">
                  <c:v>0.63</c:v>
                </c:pt>
                <c:pt idx="9">
                  <c:v>0.63</c:v>
                </c:pt>
                <c:pt idx="10">
                  <c:v>0.65</c:v>
                </c:pt>
                <c:pt idx="11">
                  <c:v>0.65</c:v>
                </c:pt>
                <c:pt idx="12">
                  <c:v>0.65</c:v>
                </c:pt>
                <c:pt idx="13">
                  <c:v>0.65</c:v>
                </c:pt>
                <c:pt idx="14">
                  <c:v>0.65</c:v>
                </c:pt>
              </c:numCache>
            </c:numRef>
          </c:val>
          <c:smooth val="0"/>
        </c:ser>
        <c:ser>
          <c:idx val="3"/>
          <c:order val="3"/>
          <c:tx>
            <c:strRef>
              <c:f>Plan1!$E$1</c:f>
              <c:strCache>
                <c:ptCount val="1"/>
                <c:pt idx="0">
                  <c:v>T4</c:v>
                </c:pt>
              </c:strCache>
            </c:strRef>
          </c:tx>
          <c:spPr>
            <a:ln w="28575" cap="rnd">
              <a:solidFill>
                <a:schemeClr val="accent4"/>
              </a:solidFill>
              <a:round/>
            </a:ln>
            <a:effectLst/>
          </c:spPr>
          <c:marker>
            <c:symbol val="plus"/>
            <c:size val="6"/>
            <c:spPr>
              <a:noFill/>
              <a:ln w="9525">
                <a:solidFill>
                  <a:schemeClr val="accent4"/>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Plan1!$E$2:$E$16</c:f>
              <c:numCache>
                <c:formatCode>0%</c:formatCode>
                <c:ptCount val="15"/>
                <c:pt idx="0">
                  <c:v>0.03</c:v>
                </c:pt>
                <c:pt idx="1">
                  <c:v>0.18</c:v>
                </c:pt>
                <c:pt idx="2">
                  <c:v>0.4</c:v>
                </c:pt>
                <c:pt idx="3">
                  <c:v>0.45</c:v>
                </c:pt>
                <c:pt idx="4">
                  <c:v>0.48</c:v>
                </c:pt>
                <c:pt idx="5">
                  <c:v>0.53</c:v>
                </c:pt>
                <c:pt idx="6">
                  <c:v>0.53</c:v>
                </c:pt>
                <c:pt idx="7">
                  <c:v>0.53</c:v>
                </c:pt>
                <c:pt idx="8">
                  <c:v>0.53</c:v>
                </c:pt>
                <c:pt idx="9">
                  <c:v>0.53</c:v>
                </c:pt>
                <c:pt idx="10">
                  <c:v>0.53</c:v>
                </c:pt>
                <c:pt idx="11">
                  <c:v>0.53</c:v>
                </c:pt>
                <c:pt idx="12">
                  <c:v>0.53</c:v>
                </c:pt>
                <c:pt idx="13">
                  <c:v>0.53</c:v>
                </c:pt>
                <c:pt idx="14">
                  <c:v>0.53</c:v>
                </c:pt>
              </c:numCache>
            </c:numRef>
          </c:val>
          <c:smooth val="0"/>
        </c:ser>
        <c:ser>
          <c:idx val="4"/>
          <c:order val="4"/>
          <c:tx>
            <c:strRef>
              <c:f>Plan1!$F$1</c:f>
              <c:strCache>
                <c:ptCount val="1"/>
                <c:pt idx="0">
                  <c:v>T5</c:v>
                </c:pt>
              </c:strCache>
            </c:strRef>
          </c:tx>
          <c:spPr>
            <a:ln w="28575" cap="rnd">
              <a:solidFill>
                <a:schemeClr val="accent5"/>
              </a:solidFill>
              <a:round/>
            </a:ln>
            <a:effectLst/>
          </c:spPr>
          <c:marker>
            <c:symbol val="star"/>
            <c:size val="7"/>
            <c:spPr>
              <a:noFill/>
              <a:ln w="9525">
                <a:solidFill>
                  <a:schemeClr val="accent5"/>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Plan1!$F$2:$F$16</c:f>
              <c:numCache>
                <c:formatCode>0%</c:formatCode>
                <c:ptCount val="15"/>
                <c:pt idx="0">
                  <c:v>0.0</c:v>
                </c:pt>
                <c:pt idx="1">
                  <c:v>0.25</c:v>
                </c:pt>
                <c:pt idx="2">
                  <c:v>0.48</c:v>
                </c:pt>
                <c:pt idx="3">
                  <c:v>0.53</c:v>
                </c:pt>
                <c:pt idx="4">
                  <c:v>0.53</c:v>
                </c:pt>
                <c:pt idx="5">
                  <c:v>0.65</c:v>
                </c:pt>
                <c:pt idx="6">
                  <c:v>0.65</c:v>
                </c:pt>
                <c:pt idx="7">
                  <c:v>0.65</c:v>
                </c:pt>
                <c:pt idx="8">
                  <c:v>0.65</c:v>
                </c:pt>
                <c:pt idx="9">
                  <c:v>0.65</c:v>
                </c:pt>
                <c:pt idx="10">
                  <c:v>0.65</c:v>
                </c:pt>
                <c:pt idx="11">
                  <c:v>0.65</c:v>
                </c:pt>
                <c:pt idx="12">
                  <c:v>0.65</c:v>
                </c:pt>
                <c:pt idx="13">
                  <c:v>0.65</c:v>
                </c:pt>
                <c:pt idx="14">
                  <c:v>0.65</c:v>
                </c:pt>
              </c:numCache>
            </c:numRef>
          </c:val>
          <c:smooth val="0"/>
        </c:ser>
        <c:ser>
          <c:idx val="5"/>
          <c:order val="5"/>
          <c:tx>
            <c:strRef>
              <c:f>Plan1!$G$1</c:f>
              <c:strCache>
                <c:ptCount val="1"/>
                <c:pt idx="0">
                  <c:v>T6</c:v>
                </c:pt>
              </c:strCache>
            </c:strRef>
          </c:tx>
          <c:spPr>
            <a:ln w="28575" cap="rnd">
              <a:solidFill>
                <a:schemeClr val="accent6"/>
              </a:solidFill>
              <a:round/>
            </a:ln>
            <a:effectLst/>
          </c:spPr>
          <c:marker>
            <c:symbol val="triangle"/>
            <c:size val="7"/>
            <c:spPr>
              <a:solidFill>
                <a:schemeClr val="accent6"/>
              </a:solidFill>
              <a:ln w="9525">
                <a:solidFill>
                  <a:schemeClr val="accent6"/>
                </a:solidFill>
              </a:ln>
              <a:effectLst/>
            </c:spPr>
          </c:marker>
          <c:cat>
            <c:numRef>
              <c:f>Plan1!$A$2:$A$16</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Plan1!$G$2:$G$16</c:f>
              <c:numCache>
                <c:formatCode>0%</c:formatCode>
                <c:ptCount val="15"/>
                <c:pt idx="0">
                  <c:v>0.0</c:v>
                </c:pt>
                <c:pt idx="1">
                  <c:v>0.23</c:v>
                </c:pt>
                <c:pt idx="2">
                  <c:v>0.35</c:v>
                </c:pt>
                <c:pt idx="3">
                  <c:v>0.43</c:v>
                </c:pt>
                <c:pt idx="4">
                  <c:v>0.43</c:v>
                </c:pt>
                <c:pt idx="5">
                  <c:v>0.55</c:v>
                </c:pt>
                <c:pt idx="6">
                  <c:v>0.55</c:v>
                </c:pt>
                <c:pt idx="7">
                  <c:v>0.58</c:v>
                </c:pt>
                <c:pt idx="8">
                  <c:v>0.58</c:v>
                </c:pt>
                <c:pt idx="9">
                  <c:v>0.58</c:v>
                </c:pt>
                <c:pt idx="10">
                  <c:v>0.58</c:v>
                </c:pt>
                <c:pt idx="11">
                  <c:v>0.58</c:v>
                </c:pt>
                <c:pt idx="12">
                  <c:v>0.58</c:v>
                </c:pt>
                <c:pt idx="13">
                  <c:v>0.58</c:v>
                </c:pt>
                <c:pt idx="14">
                  <c:v>0.58</c:v>
                </c:pt>
              </c:numCache>
            </c:numRef>
          </c:val>
          <c:smooth val="0"/>
        </c:ser>
        <c:dLbls>
          <c:showLegendKey val="0"/>
          <c:showVal val="0"/>
          <c:showCatName val="0"/>
          <c:showSerName val="0"/>
          <c:showPercent val="0"/>
          <c:showBubbleSize val="0"/>
        </c:dLbls>
        <c:marker val="1"/>
        <c:smooth val="0"/>
        <c:axId val="2072606744"/>
        <c:axId val="2123248392"/>
      </c:lineChart>
      <c:catAx>
        <c:axId val="207260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3248392"/>
        <c:crosses val="autoZero"/>
        <c:auto val="1"/>
        <c:lblAlgn val="ctr"/>
        <c:lblOffset val="100"/>
        <c:noMultiLvlLbl val="0"/>
      </c:catAx>
      <c:valAx>
        <c:axId val="2123248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606744"/>
        <c:crosses val="autoZero"/>
        <c:crossBetween val="between"/>
      </c:valAx>
      <c:spPr>
        <a:noFill/>
        <a:ln w="25400">
          <a:noFill/>
        </a:ln>
        <a:effectLst/>
      </c:spPr>
    </c:plotArea>
    <c:legend>
      <c:legendPos val="b"/>
      <c:layout>
        <c:manualLayout>
          <c:xMode val="edge"/>
          <c:yMode val="edge"/>
          <c:x val="0.869691928422181"/>
          <c:y val="0.208382668743947"/>
          <c:w val="0.126842816703339"/>
          <c:h val="0.5264028871391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2181</Words>
  <Characters>12433</Characters>
  <Application>Microsoft Macintosh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MacBook</cp:lastModifiedBy>
  <cp:revision>3</cp:revision>
  <cp:lastPrinted>2015-09-25T20:44:00Z</cp:lastPrinted>
  <dcterms:created xsi:type="dcterms:W3CDTF">2015-09-24T18:07:00Z</dcterms:created>
  <dcterms:modified xsi:type="dcterms:W3CDTF">2015-09-25T20:45:00Z</dcterms:modified>
</cp:coreProperties>
</file>